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8B" w:rsidRDefault="005F258B"/>
    <w:p w:rsidR="00A20043" w:rsidRDefault="00A20043"/>
    <w:p w:rsidR="00A20043" w:rsidRDefault="00A20043"/>
    <w:p w:rsidR="00A20043" w:rsidRDefault="00A20043">
      <w:pPr>
        <w:rPr>
          <w:b/>
          <w:bCs/>
          <w:sz w:val="36"/>
          <w:szCs w:val="36"/>
        </w:rPr>
      </w:pPr>
      <w:r w:rsidRPr="00A20043">
        <w:rPr>
          <w:b/>
          <w:bCs/>
          <w:sz w:val="36"/>
          <w:szCs w:val="36"/>
        </w:rPr>
        <w:t>Le Monde ON LINE - Newsletter économique</w:t>
      </w:r>
    </w:p>
    <w:p w:rsidR="00E013B4" w:rsidRPr="00E013B4" w:rsidRDefault="00E013B4">
      <w:pPr>
        <w:rPr>
          <w:i/>
          <w:iCs/>
        </w:rPr>
      </w:pPr>
      <w:r w:rsidRPr="00E013B4">
        <w:rPr>
          <w:i/>
          <w:iCs/>
        </w:rPr>
        <w:t>Vendredi 21 novembre 2014</w:t>
      </w:r>
    </w:p>
    <w:tbl>
      <w:tblPr>
        <w:tblW w:w="4620" w:type="dxa"/>
        <w:tblCellSpacing w:w="75" w:type="dxa"/>
        <w:shd w:val="clear" w:color="auto" w:fill="FFFFFF"/>
        <w:tblCellMar>
          <w:left w:w="0" w:type="dxa"/>
          <w:right w:w="0" w:type="dxa"/>
        </w:tblCellMar>
        <w:tblLook w:val="04A0"/>
      </w:tblPr>
      <w:tblGrid>
        <w:gridCol w:w="4620"/>
      </w:tblGrid>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color w:val="222222"/>
                <w:sz w:val="24"/>
                <w:szCs w:val="24"/>
                <w:lang w:eastAsia="fr-FR" w:bidi="he-IL"/>
              </w:rPr>
              <w:t>La fortune des riches est astronomique... sur la Terre</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t>Les quelque 211 000 "ultra-riches" sur </w:t>
            </w:r>
            <w:proofErr w:type="spellStart"/>
            <w:r w:rsidRPr="00A20043">
              <w:rPr>
                <w:rFonts w:ascii="Times New Roman" w:eastAsia="Times New Roman" w:hAnsi="Times New Roman" w:cs="Times New Roman"/>
                <w:color w:val="222222"/>
                <w:sz w:val="24"/>
                <w:szCs w:val="24"/>
                <w:lang w:eastAsia="fr-FR" w:bidi="he-IL"/>
              </w:rPr>
              <w:t>leglobe</w:t>
            </w:r>
            <w:proofErr w:type="spellEnd"/>
            <w:r w:rsidRPr="00A20043">
              <w:rPr>
                <w:rFonts w:ascii="Times New Roman" w:eastAsia="Times New Roman" w:hAnsi="Times New Roman" w:cs="Times New Roman"/>
                <w:color w:val="222222"/>
                <w:sz w:val="24"/>
                <w:szCs w:val="24"/>
                <w:lang w:eastAsia="fr-FR" w:bidi="he-IL"/>
              </w:rPr>
              <w:t xml:space="preserve"> ont continué à prospérer en 2014 malgré les tensions géopolitiques et détiennent aujourd'hui 13 % de la richesse mondiale, </w:t>
            </w:r>
            <w:hyperlink r:id="rId4" w:tgtFrame="_blank" w:history="1">
              <w:r w:rsidRPr="00A20043">
                <w:rPr>
                  <w:rFonts w:ascii="Times New Roman" w:eastAsia="Times New Roman" w:hAnsi="Times New Roman" w:cs="Times New Roman"/>
                  <w:color w:val="1155CC"/>
                  <w:sz w:val="24"/>
                  <w:szCs w:val="24"/>
                  <w:u w:val="single"/>
                  <w:lang w:eastAsia="fr-FR" w:bidi="he-IL"/>
                </w:rPr>
                <w:t xml:space="preserve">selon un rapport de la banque suisse UBS et de l'agence de conseil </w:t>
              </w:r>
              <w:proofErr w:type="spellStart"/>
              <w:r w:rsidRPr="00A20043">
                <w:rPr>
                  <w:rFonts w:ascii="Times New Roman" w:eastAsia="Times New Roman" w:hAnsi="Times New Roman" w:cs="Times New Roman"/>
                  <w:color w:val="1155CC"/>
                  <w:sz w:val="24"/>
                  <w:szCs w:val="24"/>
                  <w:u w:val="single"/>
                  <w:lang w:eastAsia="fr-FR" w:bidi="he-IL"/>
                </w:rPr>
                <w:t>Wealth</w:t>
              </w:r>
              <w:proofErr w:type="spellEnd"/>
              <w:r w:rsidRPr="00A20043">
                <w:rPr>
                  <w:rFonts w:ascii="Times New Roman" w:eastAsia="Times New Roman" w:hAnsi="Times New Roman" w:cs="Times New Roman"/>
                  <w:color w:val="1155CC"/>
                  <w:sz w:val="24"/>
                  <w:szCs w:val="24"/>
                  <w:u w:val="single"/>
                  <w:lang w:eastAsia="fr-FR" w:bidi="he-IL"/>
                </w:rPr>
                <w:t>-X</w:t>
              </w:r>
            </w:hyperlink>
            <w:r w:rsidRPr="00A20043">
              <w:rPr>
                <w:rFonts w:ascii="Times New Roman" w:eastAsia="Times New Roman" w:hAnsi="Times New Roman" w:cs="Times New Roman"/>
                <w:color w:val="222222"/>
                <w:sz w:val="24"/>
                <w:szCs w:val="24"/>
                <w:lang w:eastAsia="fr-FR" w:bidi="he-IL"/>
              </w:rPr>
              <w:t>. </w:t>
            </w:r>
            <w:r w:rsidRPr="00A20043">
              <w:rPr>
                <w:rFonts w:ascii="Times New Roman" w:eastAsia="Times New Roman" w:hAnsi="Times New Roman" w:cs="Times New Roman"/>
                <w:i/>
                <w:iCs/>
                <w:color w:val="222222"/>
                <w:sz w:val="24"/>
                <w:szCs w:val="24"/>
                <w:lang w:eastAsia="fr-FR" w:bidi="he-IL"/>
              </w:rPr>
              <w:t xml:space="preserve">"En 2014, le nombre d'ultra-riches </w:t>
            </w:r>
            <w:proofErr w:type="spellStart"/>
            <w:r w:rsidRPr="00A20043">
              <w:rPr>
                <w:rFonts w:ascii="Times New Roman" w:eastAsia="Times New Roman" w:hAnsi="Times New Roman" w:cs="Times New Roman"/>
                <w:i/>
                <w:iCs/>
                <w:color w:val="222222"/>
                <w:sz w:val="24"/>
                <w:szCs w:val="24"/>
                <w:lang w:eastAsia="fr-FR" w:bidi="he-IL"/>
              </w:rPr>
              <w:t>dansle</w:t>
            </w:r>
            <w:proofErr w:type="spellEnd"/>
            <w:r w:rsidRPr="00A20043">
              <w:rPr>
                <w:rFonts w:ascii="Times New Roman" w:eastAsia="Times New Roman" w:hAnsi="Times New Roman" w:cs="Times New Roman"/>
                <w:i/>
                <w:iCs/>
                <w:color w:val="222222"/>
                <w:sz w:val="24"/>
                <w:szCs w:val="24"/>
                <w:lang w:eastAsia="fr-FR" w:bidi="he-IL"/>
              </w:rPr>
              <w:t xml:space="preserve"> monde a augmenté de 6 % et leur patrimoine (...) de 7 %, pour atteindre près de 30 000 milliards de </w:t>
            </w:r>
            <w:proofErr w:type="spellStart"/>
            <w:r w:rsidRPr="00A20043">
              <w:rPr>
                <w:rFonts w:ascii="Times New Roman" w:eastAsia="Times New Roman" w:hAnsi="Times New Roman" w:cs="Times New Roman"/>
                <w:i/>
                <w:iCs/>
                <w:color w:val="222222"/>
                <w:sz w:val="24"/>
                <w:szCs w:val="24"/>
                <w:lang w:eastAsia="fr-FR" w:bidi="he-IL"/>
              </w:rPr>
              <w:t>dollars"</w:t>
            </w:r>
            <w:proofErr w:type="gramStart"/>
            <w:r w:rsidRPr="00A20043">
              <w:rPr>
                <w:rFonts w:ascii="Times New Roman" w:eastAsia="Times New Roman" w:hAnsi="Times New Roman" w:cs="Times New Roman"/>
                <w:i/>
                <w:iCs/>
                <w:color w:val="222222"/>
                <w:sz w:val="24"/>
                <w:szCs w:val="24"/>
                <w:lang w:eastAsia="fr-FR" w:bidi="he-IL"/>
              </w:rPr>
              <w:t>,</w:t>
            </w:r>
            <w:r w:rsidRPr="00A20043">
              <w:rPr>
                <w:rFonts w:ascii="Times New Roman" w:eastAsia="Times New Roman" w:hAnsi="Times New Roman" w:cs="Times New Roman"/>
                <w:color w:val="222222"/>
                <w:sz w:val="24"/>
                <w:szCs w:val="24"/>
                <w:lang w:eastAsia="fr-FR" w:bidi="he-IL"/>
              </w:rPr>
              <w:t>soit</w:t>
            </w:r>
            <w:proofErr w:type="spellEnd"/>
            <w:proofErr w:type="gramEnd"/>
            <w:r w:rsidRPr="00A20043">
              <w:rPr>
                <w:rFonts w:ascii="Times New Roman" w:eastAsia="Times New Roman" w:hAnsi="Times New Roman" w:cs="Times New Roman"/>
                <w:color w:val="222222"/>
                <w:sz w:val="24"/>
                <w:szCs w:val="24"/>
                <w:lang w:eastAsia="fr-FR" w:bidi="he-IL"/>
              </w:rPr>
              <w:t xml:space="preserve"> près de deux fois le produit intérieur brut américain, note cette étude publiée jeudi. Ces individus très fortunés – patrimoine supérieur à 30 millions de dollars – ne représentent que </w:t>
            </w:r>
            <w:r w:rsidRPr="00A20043">
              <w:rPr>
                <w:rFonts w:ascii="Times New Roman" w:eastAsia="Times New Roman" w:hAnsi="Times New Roman" w:cs="Times New Roman"/>
                <w:i/>
                <w:iCs/>
                <w:color w:val="222222"/>
                <w:sz w:val="24"/>
                <w:szCs w:val="24"/>
                <w:lang w:eastAsia="fr-FR" w:bidi="he-IL"/>
              </w:rPr>
              <w:t>"0,004 % de la population adulte mondiale", </w:t>
            </w:r>
            <w:r w:rsidRPr="00A20043">
              <w:rPr>
                <w:rFonts w:ascii="Times New Roman" w:eastAsia="Times New Roman" w:hAnsi="Times New Roman" w:cs="Times New Roman"/>
                <w:color w:val="222222"/>
                <w:sz w:val="24"/>
                <w:szCs w:val="24"/>
                <w:lang w:eastAsia="fr-FR" w:bidi="he-IL"/>
              </w:rPr>
              <w:t xml:space="preserve">indiquent la banque suisse et </w:t>
            </w:r>
            <w:proofErr w:type="spellStart"/>
            <w:r w:rsidRPr="00A20043">
              <w:rPr>
                <w:rFonts w:ascii="Times New Roman" w:eastAsia="Times New Roman" w:hAnsi="Times New Roman" w:cs="Times New Roman"/>
                <w:color w:val="222222"/>
                <w:sz w:val="24"/>
                <w:szCs w:val="24"/>
                <w:lang w:eastAsia="fr-FR" w:bidi="he-IL"/>
              </w:rPr>
              <w:t>Wealth</w:t>
            </w:r>
            <w:proofErr w:type="spellEnd"/>
            <w:r w:rsidRPr="00A20043">
              <w:rPr>
                <w:rFonts w:ascii="Times New Roman" w:eastAsia="Times New Roman" w:hAnsi="Times New Roman" w:cs="Times New Roman"/>
                <w:color w:val="222222"/>
                <w:sz w:val="24"/>
                <w:szCs w:val="24"/>
                <w:lang w:eastAsia="fr-FR" w:bidi="he-IL"/>
              </w:rPr>
              <w:t xml:space="preserve">-X, une société de conseil destinées aux gros patrimoines. Selon leur rapport, ce club très fermé a réussi en 2014 à étendre </w:t>
            </w:r>
            <w:proofErr w:type="spellStart"/>
            <w:r w:rsidRPr="00A20043">
              <w:rPr>
                <w:rFonts w:ascii="Times New Roman" w:eastAsia="Times New Roman" w:hAnsi="Times New Roman" w:cs="Times New Roman"/>
                <w:color w:val="222222"/>
                <w:sz w:val="24"/>
                <w:szCs w:val="24"/>
                <w:lang w:eastAsia="fr-FR" w:bidi="he-IL"/>
              </w:rPr>
              <w:t>son</w:t>
            </w:r>
            <w:r w:rsidRPr="00A20043">
              <w:rPr>
                <w:rFonts w:ascii="Times New Roman" w:eastAsia="Times New Roman" w:hAnsi="Times New Roman" w:cs="Times New Roman"/>
                <w:i/>
                <w:iCs/>
                <w:color w:val="222222"/>
                <w:sz w:val="24"/>
                <w:szCs w:val="24"/>
                <w:lang w:eastAsia="fr-FR" w:bidi="he-IL"/>
              </w:rPr>
              <w:t>"influence</w:t>
            </w:r>
            <w:proofErr w:type="spellEnd"/>
            <w:r w:rsidRPr="00A20043">
              <w:rPr>
                <w:rFonts w:ascii="Times New Roman" w:eastAsia="Times New Roman" w:hAnsi="Times New Roman" w:cs="Times New Roman"/>
                <w:i/>
                <w:iCs/>
                <w:color w:val="222222"/>
                <w:sz w:val="24"/>
                <w:szCs w:val="24"/>
                <w:lang w:eastAsia="fr-FR" w:bidi="he-IL"/>
              </w:rPr>
              <w:t>"</w:t>
            </w:r>
            <w:r w:rsidRPr="00A20043">
              <w:rPr>
                <w:rFonts w:ascii="Times New Roman" w:eastAsia="Times New Roman" w:hAnsi="Times New Roman" w:cs="Times New Roman"/>
                <w:color w:val="222222"/>
                <w:sz w:val="24"/>
                <w:szCs w:val="24"/>
                <w:lang w:eastAsia="fr-FR" w:bidi="he-IL"/>
              </w:rPr>
              <w:t> grâce à la bonne santé des marchés boursiers et en dépit des </w:t>
            </w:r>
            <w:r w:rsidRPr="00A20043">
              <w:rPr>
                <w:rFonts w:ascii="Times New Roman" w:eastAsia="Times New Roman" w:hAnsi="Times New Roman" w:cs="Times New Roman"/>
                <w:i/>
                <w:iCs/>
                <w:color w:val="222222"/>
                <w:sz w:val="24"/>
                <w:szCs w:val="24"/>
                <w:lang w:eastAsia="fr-FR" w:bidi="he-IL"/>
              </w:rPr>
              <w:t>"conflits géopolitiques, des tensions socio-économiques et de la volatilité sur les marchés financiers".</w:t>
            </w:r>
            <w:r w:rsidRPr="00A20043">
              <w:rPr>
                <w:rFonts w:ascii="Times New Roman" w:eastAsia="Times New Roman" w:hAnsi="Times New Roman" w:cs="Times New Roman"/>
                <w:color w:val="222222"/>
                <w:sz w:val="24"/>
                <w:szCs w:val="24"/>
                <w:lang w:eastAsia="fr-FR" w:bidi="he-IL"/>
              </w:rPr>
              <w:t xml:space="preserve"> Selon UBS et </w:t>
            </w:r>
            <w:proofErr w:type="spellStart"/>
            <w:r w:rsidRPr="00A20043">
              <w:rPr>
                <w:rFonts w:ascii="Times New Roman" w:eastAsia="Times New Roman" w:hAnsi="Times New Roman" w:cs="Times New Roman"/>
                <w:color w:val="222222"/>
                <w:sz w:val="24"/>
                <w:szCs w:val="24"/>
                <w:lang w:eastAsia="fr-FR" w:bidi="he-IL"/>
              </w:rPr>
              <w:t>Wealth</w:t>
            </w:r>
            <w:proofErr w:type="spellEnd"/>
            <w:r w:rsidRPr="00A20043">
              <w:rPr>
                <w:rFonts w:ascii="Times New Roman" w:eastAsia="Times New Roman" w:hAnsi="Times New Roman" w:cs="Times New Roman"/>
                <w:color w:val="222222"/>
                <w:sz w:val="24"/>
                <w:szCs w:val="24"/>
                <w:lang w:eastAsia="fr-FR" w:bidi="he-IL"/>
              </w:rPr>
              <w:t>-X, ces quelque 211 000 individus ont ainsi à eux seuls été responsables de</w:t>
            </w:r>
            <w:r w:rsidRPr="00A20043">
              <w:rPr>
                <w:rFonts w:ascii="Times New Roman" w:eastAsia="Times New Roman" w:hAnsi="Times New Roman" w:cs="Times New Roman"/>
                <w:i/>
                <w:iCs/>
                <w:color w:val="222222"/>
                <w:sz w:val="24"/>
                <w:szCs w:val="24"/>
                <w:lang w:eastAsia="fr-FR" w:bidi="he-IL"/>
              </w:rPr>
              <w:t> "19 %"</w:t>
            </w:r>
            <w:r w:rsidRPr="00A20043">
              <w:rPr>
                <w:rFonts w:ascii="Times New Roman" w:eastAsia="Times New Roman" w:hAnsi="Times New Roman" w:cs="Times New Roman"/>
                <w:color w:val="222222"/>
                <w:sz w:val="24"/>
                <w:szCs w:val="24"/>
                <w:lang w:eastAsia="fr-FR" w:bidi="he-IL"/>
              </w:rPr>
              <w:t> de la totalité des achats de produits de luxe sur </w:t>
            </w:r>
            <w:proofErr w:type="spellStart"/>
            <w:r w:rsidRPr="00A20043">
              <w:rPr>
                <w:rFonts w:ascii="Times New Roman" w:eastAsia="Times New Roman" w:hAnsi="Times New Roman" w:cs="Times New Roman"/>
                <w:color w:val="222222"/>
                <w:sz w:val="24"/>
                <w:szCs w:val="24"/>
                <w:lang w:eastAsia="fr-FR" w:bidi="he-IL"/>
              </w:rPr>
              <w:t>leglobe</w:t>
            </w:r>
            <w:proofErr w:type="spellEnd"/>
            <w:r w:rsidRPr="00A20043">
              <w:rPr>
                <w:rFonts w:ascii="Times New Roman" w:eastAsia="Times New Roman" w:hAnsi="Times New Roman" w:cs="Times New Roman"/>
                <w:color w:val="222222"/>
                <w:sz w:val="24"/>
                <w:szCs w:val="24"/>
                <w:lang w:eastAsia="fr-FR" w:bidi="he-IL"/>
              </w:rPr>
              <w:t>. Les Etats-Unis abritent le plus gros contingent d'ultra-riches (74 865), suivis de près par l'Europe (61 820) et l'Asie (46 635), détaille le rapport. </w:t>
            </w:r>
            <w:r w:rsidRPr="00A20043">
              <w:rPr>
                <w:rFonts w:ascii="Times New Roman" w:eastAsia="Times New Roman" w:hAnsi="Times New Roman" w:cs="Times New Roman"/>
                <w:color w:val="222222"/>
                <w:sz w:val="24"/>
                <w:szCs w:val="24"/>
                <w:lang w:eastAsia="fr-FR" w:bidi="he-IL"/>
              </w:rPr>
              <w:br/>
              <w:t>C'est néanmoins sur le continent africain que leur nombre a le plus augmenté en 2014 avec une poussée de 8,3 % (environ 3 000). </w:t>
            </w:r>
          </w:p>
        </w:tc>
      </w:tr>
      <w:tr w:rsidR="00A20043" w:rsidRPr="00A20043" w:rsidTr="00A20043">
        <w:trPr>
          <w:tblCellSpacing w:w="75" w:type="dxa"/>
        </w:trPr>
        <w:tc>
          <w:tcPr>
            <w:tcW w:w="0" w:type="auto"/>
            <w:tcBorders>
              <w:top w:val="nil"/>
              <w:left w:val="single" w:sz="48" w:space="0" w:color="D7D7D7"/>
              <w:bottom w:val="nil"/>
              <w:right w:val="nil"/>
            </w:tcBorders>
            <w:shd w:val="clear" w:color="auto" w:fill="FFFFFF"/>
            <w:tcMar>
              <w:top w:w="0" w:type="dxa"/>
              <w:left w:w="75" w:type="dxa"/>
              <w:bottom w:w="0" w:type="dxa"/>
              <w:right w:w="0" w:type="dxa"/>
            </w:tcMar>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i/>
                <w:iCs/>
                <w:color w:val="222222"/>
                <w:sz w:val="24"/>
                <w:szCs w:val="24"/>
                <w:lang w:eastAsia="fr-FR" w:bidi="he-IL"/>
              </w:rPr>
              <w:t xml:space="preserve">Selon Simon </w:t>
            </w:r>
            <w:proofErr w:type="spellStart"/>
            <w:r w:rsidRPr="00A20043">
              <w:rPr>
                <w:rFonts w:ascii="Times New Roman" w:eastAsia="Times New Roman" w:hAnsi="Times New Roman" w:cs="Times New Roman"/>
                <w:i/>
                <w:iCs/>
                <w:color w:val="222222"/>
                <w:sz w:val="24"/>
                <w:szCs w:val="24"/>
                <w:lang w:eastAsia="fr-FR" w:bidi="he-IL"/>
              </w:rPr>
              <w:t>Smiles</w:t>
            </w:r>
            <w:proofErr w:type="spellEnd"/>
            <w:r w:rsidRPr="00A20043">
              <w:rPr>
                <w:rFonts w:ascii="Times New Roman" w:eastAsia="Times New Roman" w:hAnsi="Times New Roman" w:cs="Times New Roman"/>
                <w:i/>
                <w:iCs/>
                <w:color w:val="222222"/>
                <w:sz w:val="24"/>
                <w:szCs w:val="24"/>
                <w:lang w:eastAsia="fr-FR" w:bidi="he-IL"/>
              </w:rPr>
              <w:t xml:space="preserve">, de la division grands comptes à UBS, le plus grand risque qui </w:t>
            </w:r>
            <w:r w:rsidRPr="00A20043">
              <w:rPr>
                <w:rFonts w:ascii="Times New Roman" w:eastAsia="Times New Roman" w:hAnsi="Times New Roman" w:cs="Times New Roman"/>
                <w:i/>
                <w:iCs/>
                <w:color w:val="222222"/>
                <w:sz w:val="24"/>
                <w:szCs w:val="24"/>
                <w:lang w:eastAsia="fr-FR" w:bidi="he-IL"/>
              </w:rPr>
              <w:lastRenderedPageBreak/>
              <w:t>pèse sur ces "ultra-riches" est une "concentration" de leurs fortunes dans un nombre restreint de secteurs. "La macro-économie, des questions spécifiques telles que des changements technologiques ou la concurrence, des évolutions de la régulation ou la géopolitique peuvent avoir un impact négatif sur les perspectives de secteurs autrefois prospères", souligne-t-il dans le rapport.</w:t>
            </w:r>
          </w:p>
        </w:tc>
      </w:tr>
      <w:tr w:rsidR="00A20043" w:rsidRPr="00A20043" w:rsidTr="00A20043">
        <w:trPr>
          <w:trHeight w:val="15"/>
          <w:tblCellSpacing w:w="75" w:type="dxa"/>
        </w:trPr>
        <w:tc>
          <w:tcPr>
            <w:tcW w:w="0" w:type="auto"/>
            <w:shd w:val="clear" w:color="auto" w:fill="FFFFFF"/>
            <w:vAlign w:val="center"/>
            <w:hideMark/>
          </w:tcPr>
          <w:p w:rsidR="00A20043" w:rsidRPr="00A20043" w:rsidRDefault="00A20043" w:rsidP="00A20043">
            <w:pPr>
              <w:spacing w:after="0" w:line="240" w:lineRule="auto"/>
              <w:rPr>
                <w:rFonts w:ascii="Arial" w:eastAsia="Times New Roman" w:hAnsi="Arial" w:cs="Arial"/>
                <w:color w:val="222222"/>
                <w:sz w:val="2"/>
                <w:szCs w:val="15"/>
                <w:lang w:eastAsia="fr-FR" w:bidi="he-IL"/>
              </w:rPr>
            </w:pP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color w:val="222222"/>
                <w:sz w:val="24"/>
                <w:szCs w:val="24"/>
                <w:lang w:eastAsia="fr-FR" w:bidi="he-IL"/>
              </w:rPr>
              <w:t>Les vols nationaux d'Air France bientôt sous la bannière Hop! Air France</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hyperlink r:id="rId5" w:tgtFrame="_blank" w:history="1">
              <w:r w:rsidRPr="00A20043">
                <w:rPr>
                  <w:rFonts w:ascii="Times New Roman" w:eastAsia="Times New Roman" w:hAnsi="Times New Roman" w:cs="Times New Roman"/>
                  <w:color w:val="1155CC"/>
                  <w:sz w:val="24"/>
                  <w:szCs w:val="24"/>
                  <w:u w:val="single"/>
                  <w:lang w:eastAsia="fr-FR" w:bidi="he-IL"/>
                </w:rPr>
                <w:t>Les vols intérieurs d'Air France seront assurés, à partir d'avril 2015, par Hop!</w:t>
              </w:r>
            </w:hyperlink>
            <w:r w:rsidRPr="00A20043">
              <w:rPr>
                <w:rFonts w:ascii="Times New Roman" w:eastAsia="Times New Roman" w:hAnsi="Times New Roman" w:cs="Times New Roman"/>
                <w:color w:val="000000"/>
                <w:sz w:val="24"/>
                <w:szCs w:val="24"/>
                <w:lang w:eastAsia="fr-FR" w:bidi="he-IL"/>
              </w:rPr>
              <w:t>, filiale régionale de la compagnie française, pour tenter de renouer avec les bénéfices sur son marché concurrencé par </w:t>
            </w:r>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color w:val="000000"/>
                <w:sz w:val="24"/>
                <w:szCs w:val="24"/>
                <w:lang w:eastAsia="fr-FR" w:bidi="he-IL"/>
              </w:rPr>
              <w:t xml:space="preserve"> train, la voiture et les </w:t>
            </w:r>
            <w:proofErr w:type="spellStart"/>
            <w:r w:rsidRPr="00A20043">
              <w:rPr>
                <w:rFonts w:ascii="Times New Roman" w:eastAsia="Times New Roman" w:hAnsi="Times New Roman" w:cs="Times New Roman"/>
                <w:color w:val="000000"/>
                <w:sz w:val="24"/>
                <w:szCs w:val="24"/>
                <w:lang w:eastAsia="fr-FR" w:bidi="he-IL"/>
              </w:rPr>
              <w:t>low</w:t>
            </w:r>
            <w:proofErr w:type="spellEnd"/>
            <w:r w:rsidRPr="00A20043">
              <w:rPr>
                <w:rFonts w:ascii="Times New Roman" w:eastAsia="Times New Roman" w:hAnsi="Times New Roman" w:cs="Times New Roman"/>
                <w:color w:val="000000"/>
                <w:sz w:val="24"/>
                <w:szCs w:val="24"/>
                <w:lang w:eastAsia="fr-FR" w:bidi="he-IL"/>
              </w:rPr>
              <w:t xml:space="preserve"> </w:t>
            </w:r>
            <w:proofErr w:type="spellStart"/>
            <w:r w:rsidRPr="00A20043">
              <w:rPr>
                <w:rFonts w:ascii="Times New Roman" w:eastAsia="Times New Roman" w:hAnsi="Times New Roman" w:cs="Times New Roman"/>
                <w:color w:val="000000"/>
                <w:sz w:val="24"/>
                <w:szCs w:val="24"/>
                <w:lang w:eastAsia="fr-FR" w:bidi="he-IL"/>
              </w:rPr>
              <w:t>cost</w:t>
            </w:r>
            <w:proofErr w:type="spellEnd"/>
            <w:r w:rsidRPr="00A20043">
              <w:rPr>
                <w:rFonts w:ascii="Times New Roman" w:eastAsia="Times New Roman" w:hAnsi="Times New Roman" w:cs="Times New Roman"/>
                <w:color w:val="000000"/>
                <w:sz w:val="24"/>
                <w:szCs w:val="24"/>
                <w:lang w:eastAsia="fr-FR" w:bidi="he-IL"/>
              </w:rPr>
              <w:t xml:space="preserve">. A l'exception des vols alimentant la plateforme de correspondances de Roissy-Charles de Gaulle d'où partent les avions pour les destinations internationales, tous les vols entre Paris-Orly et la province et ceux desservant les villes de province entre elles seront regroupés chez Hop! avec l'objectif de gagner en réactivité commerciale et en flexibilité. L'offre court-courrier sera commercialisée sous la marque unique "Hop! Air France", a dévoilé Air France dans un communiqué jeudi soir. Hop!, née de la fusion en janvier 2013 entre les trois compagnies régionales </w:t>
            </w:r>
            <w:proofErr w:type="spellStart"/>
            <w:r w:rsidRPr="00A20043">
              <w:rPr>
                <w:rFonts w:ascii="Times New Roman" w:eastAsia="Times New Roman" w:hAnsi="Times New Roman" w:cs="Times New Roman"/>
                <w:color w:val="000000"/>
                <w:sz w:val="24"/>
                <w:szCs w:val="24"/>
                <w:lang w:eastAsia="fr-FR" w:bidi="he-IL"/>
              </w:rPr>
              <w:t>Airliner</w:t>
            </w:r>
            <w:proofErr w:type="spellEnd"/>
            <w:r w:rsidRPr="00A20043">
              <w:rPr>
                <w:rFonts w:ascii="Times New Roman" w:eastAsia="Times New Roman" w:hAnsi="Times New Roman" w:cs="Times New Roman"/>
                <w:color w:val="000000"/>
                <w:sz w:val="24"/>
                <w:szCs w:val="24"/>
                <w:lang w:eastAsia="fr-FR" w:bidi="he-IL"/>
              </w:rPr>
              <w:t xml:space="preserve">, </w:t>
            </w:r>
            <w:proofErr w:type="spellStart"/>
            <w:r w:rsidRPr="00A20043">
              <w:rPr>
                <w:rFonts w:ascii="Times New Roman" w:eastAsia="Times New Roman" w:hAnsi="Times New Roman" w:cs="Times New Roman"/>
                <w:color w:val="000000"/>
                <w:sz w:val="24"/>
                <w:szCs w:val="24"/>
                <w:lang w:eastAsia="fr-FR" w:bidi="he-IL"/>
              </w:rPr>
              <w:t>Brit</w:t>
            </w:r>
            <w:proofErr w:type="spellEnd"/>
            <w:r w:rsidRPr="00A20043">
              <w:rPr>
                <w:rFonts w:ascii="Times New Roman" w:eastAsia="Times New Roman" w:hAnsi="Times New Roman" w:cs="Times New Roman"/>
                <w:color w:val="000000"/>
                <w:sz w:val="24"/>
                <w:szCs w:val="24"/>
                <w:lang w:eastAsia="fr-FR" w:bidi="he-IL"/>
              </w:rPr>
              <w:t xml:space="preserve"> Air et </w:t>
            </w:r>
            <w:proofErr w:type="spellStart"/>
            <w:r w:rsidRPr="00A20043">
              <w:rPr>
                <w:rFonts w:ascii="Times New Roman" w:eastAsia="Times New Roman" w:hAnsi="Times New Roman" w:cs="Times New Roman"/>
                <w:color w:val="000000"/>
                <w:sz w:val="24"/>
                <w:szCs w:val="24"/>
                <w:lang w:eastAsia="fr-FR" w:bidi="he-IL"/>
              </w:rPr>
              <w:t>Regional</w:t>
            </w:r>
            <w:proofErr w:type="spellEnd"/>
            <w:r w:rsidRPr="00A20043">
              <w:rPr>
                <w:rFonts w:ascii="Times New Roman" w:eastAsia="Times New Roman" w:hAnsi="Times New Roman" w:cs="Times New Roman"/>
                <w:color w:val="000000"/>
                <w:sz w:val="24"/>
                <w:szCs w:val="24"/>
                <w:lang w:eastAsia="fr-FR" w:bidi="he-IL"/>
              </w:rPr>
              <w:t>, effectue actuellement 510 vols quotidiens. Son activité passera à 800 vols par jour à partir de la saison été (avril-octobre).</w:t>
            </w:r>
          </w:p>
        </w:tc>
      </w:tr>
      <w:tr w:rsidR="00A20043" w:rsidRPr="00A20043" w:rsidTr="00A20043">
        <w:trPr>
          <w:tblCellSpacing w:w="75" w:type="dxa"/>
        </w:trPr>
        <w:tc>
          <w:tcPr>
            <w:tcW w:w="0" w:type="auto"/>
            <w:tcBorders>
              <w:top w:val="nil"/>
              <w:left w:val="single" w:sz="48" w:space="0" w:color="D7D7D7"/>
              <w:bottom w:val="nil"/>
              <w:right w:val="nil"/>
            </w:tcBorders>
            <w:shd w:val="clear" w:color="auto" w:fill="FFFFFF"/>
            <w:tcMar>
              <w:top w:w="0" w:type="dxa"/>
              <w:left w:w="75" w:type="dxa"/>
              <w:bottom w:w="0" w:type="dxa"/>
              <w:right w:w="0" w:type="dxa"/>
            </w:tcMar>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i/>
                <w:iCs/>
                <w:color w:val="222222"/>
                <w:sz w:val="24"/>
                <w:szCs w:val="24"/>
                <w:lang w:eastAsia="fr-FR" w:bidi="he-IL"/>
              </w:rPr>
              <w:t>L'activité court-courrier (dite "point à point"), qui emploie 4 200 personnes, a généré 1,7 milliard d'euros de CA en 2013 et compte 15 millions de clients passant par 13 escales.</w:t>
            </w:r>
          </w:p>
        </w:tc>
      </w:tr>
      <w:tr w:rsidR="00A20043" w:rsidRPr="00A20043" w:rsidTr="00A20043">
        <w:trPr>
          <w:trHeight w:val="15"/>
          <w:tblCellSpacing w:w="75" w:type="dxa"/>
        </w:trPr>
        <w:tc>
          <w:tcPr>
            <w:tcW w:w="0" w:type="auto"/>
            <w:shd w:val="clear" w:color="auto" w:fill="FFFFFF"/>
            <w:vAlign w:val="center"/>
            <w:hideMark/>
          </w:tcPr>
          <w:p w:rsidR="00A20043" w:rsidRPr="00A20043" w:rsidRDefault="00A20043" w:rsidP="00A20043">
            <w:pPr>
              <w:spacing w:after="0" w:line="240" w:lineRule="auto"/>
              <w:rPr>
                <w:rFonts w:ascii="Arial" w:eastAsia="Times New Roman" w:hAnsi="Arial" w:cs="Arial"/>
                <w:color w:val="222222"/>
                <w:sz w:val="2"/>
                <w:szCs w:val="15"/>
                <w:lang w:eastAsia="fr-FR" w:bidi="he-IL"/>
              </w:rPr>
            </w:pP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color w:val="222222"/>
                <w:sz w:val="24"/>
                <w:szCs w:val="24"/>
                <w:lang w:eastAsia="fr-FR" w:bidi="he-IL"/>
              </w:rPr>
              <w:t xml:space="preserve">La BCE prête à faire plus pour soutenir la zone euro, souligne Mario </w:t>
            </w:r>
            <w:proofErr w:type="spellStart"/>
            <w:r w:rsidRPr="00A20043">
              <w:rPr>
                <w:rFonts w:ascii="Times New Roman" w:eastAsia="Times New Roman" w:hAnsi="Times New Roman" w:cs="Times New Roman"/>
                <w:b/>
                <w:bCs/>
                <w:color w:val="222222"/>
                <w:sz w:val="24"/>
                <w:szCs w:val="24"/>
                <w:lang w:eastAsia="fr-FR" w:bidi="he-IL"/>
              </w:rPr>
              <w:t>Draghi</w:t>
            </w:r>
            <w:proofErr w:type="spellEnd"/>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t xml:space="preserve">La Banque centrale européenne (BCE), qui a multiplié les initiatives de soutien à l'économie ces derniers mois, est prête à </w:t>
            </w:r>
            <w:r w:rsidRPr="00A20043">
              <w:rPr>
                <w:rFonts w:ascii="Times New Roman" w:eastAsia="Times New Roman" w:hAnsi="Times New Roman" w:cs="Times New Roman"/>
                <w:color w:val="222222"/>
                <w:sz w:val="24"/>
                <w:szCs w:val="24"/>
                <w:lang w:eastAsia="fr-FR" w:bidi="he-IL"/>
              </w:rPr>
              <w:lastRenderedPageBreak/>
              <w:t>étendre ses rachats d'actifs si nécessaire, </w:t>
            </w:r>
            <w:hyperlink r:id="rId6" w:tgtFrame="_blank" w:history="1">
              <w:r w:rsidRPr="00A20043">
                <w:rPr>
                  <w:rFonts w:ascii="Times New Roman" w:eastAsia="Times New Roman" w:hAnsi="Times New Roman" w:cs="Times New Roman"/>
                  <w:color w:val="1155CC"/>
                  <w:sz w:val="24"/>
                  <w:szCs w:val="24"/>
                  <w:u w:val="single"/>
                  <w:lang w:eastAsia="fr-FR" w:bidi="he-IL"/>
                </w:rPr>
                <w:t xml:space="preserve">a déclaré vendredi son président, Mario </w:t>
              </w:r>
              <w:proofErr w:type="spellStart"/>
              <w:r w:rsidRPr="00A20043">
                <w:rPr>
                  <w:rFonts w:ascii="Times New Roman" w:eastAsia="Times New Roman" w:hAnsi="Times New Roman" w:cs="Times New Roman"/>
                  <w:color w:val="1155CC"/>
                  <w:sz w:val="24"/>
                  <w:szCs w:val="24"/>
                  <w:u w:val="single"/>
                  <w:lang w:eastAsia="fr-FR" w:bidi="he-IL"/>
                </w:rPr>
                <w:t>Draghi</w:t>
              </w:r>
              <w:proofErr w:type="spellEnd"/>
              <w:r w:rsidRPr="00A20043">
                <w:rPr>
                  <w:rFonts w:ascii="Times New Roman" w:eastAsia="Times New Roman" w:hAnsi="Times New Roman" w:cs="Times New Roman"/>
                  <w:color w:val="1155CC"/>
                  <w:sz w:val="24"/>
                  <w:szCs w:val="24"/>
                  <w:u w:val="single"/>
                  <w:lang w:eastAsia="fr-FR" w:bidi="he-IL"/>
                </w:rPr>
                <w:t>, lors d'un congrès bancaire à Francfort</w:t>
              </w:r>
            </w:hyperlink>
            <w:r w:rsidRPr="00A20043">
              <w:rPr>
                <w:rFonts w:ascii="Times New Roman" w:eastAsia="Times New Roman" w:hAnsi="Times New Roman" w:cs="Times New Roman"/>
                <w:color w:val="222222"/>
                <w:sz w:val="24"/>
                <w:szCs w:val="24"/>
                <w:lang w:eastAsia="fr-FR" w:bidi="he-IL"/>
              </w:rPr>
              <w:t>, ajoutant qu''</w:t>
            </w:r>
            <w:r w:rsidRPr="00A20043">
              <w:rPr>
                <w:rFonts w:ascii="Times New Roman" w:eastAsia="Times New Roman" w:hAnsi="Times New Roman" w:cs="Times New Roman"/>
                <w:i/>
                <w:iCs/>
                <w:color w:val="222222"/>
                <w:sz w:val="24"/>
                <w:szCs w:val="24"/>
                <w:lang w:eastAsia="fr-FR" w:bidi="he-IL"/>
              </w:rPr>
              <w:t>'il était "essentiel de rapprocher l'inflation (en zone euro) de son objectif et ce sans délai". </w:t>
            </w:r>
            <w:r w:rsidRPr="00A20043">
              <w:rPr>
                <w:rFonts w:ascii="Times New Roman" w:eastAsia="Times New Roman" w:hAnsi="Times New Roman" w:cs="Times New Roman"/>
                <w:color w:val="222222"/>
                <w:sz w:val="24"/>
                <w:szCs w:val="24"/>
                <w:lang w:eastAsia="fr-FR" w:bidi="he-IL"/>
              </w:rPr>
              <w:t xml:space="preserve">La BCE a déjà abaissé son taux d'intérêt de référence à près de zéro et a commencé à acheter des obligations constituées de prêts bancaires aux entreprises – un effort pour stimuler les prêts et l'activité économique. M. </w:t>
            </w:r>
            <w:proofErr w:type="spellStart"/>
            <w:r w:rsidRPr="00A20043">
              <w:rPr>
                <w:rFonts w:ascii="Times New Roman" w:eastAsia="Times New Roman" w:hAnsi="Times New Roman" w:cs="Times New Roman"/>
                <w:color w:val="222222"/>
                <w:sz w:val="24"/>
                <w:szCs w:val="24"/>
                <w:lang w:eastAsia="fr-FR" w:bidi="he-IL"/>
              </w:rPr>
              <w:t>Draghi</w:t>
            </w:r>
            <w:proofErr w:type="spellEnd"/>
            <w:r w:rsidRPr="00A20043">
              <w:rPr>
                <w:rFonts w:ascii="Times New Roman" w:eastAsia="Times New Roman" w:hAnsi="Times New Roman" w:cs="Times New Roman"/>
                <w:color w:val="222222"/>
                <w:sz w:val="24"/>
                <w:szCs w:val="24"/>
                <w:lang w:eastAsia="fr-FR" w:bidi="he-IL"/>
              </w:rPr>
              <w:t xml:space="preserve"> a déclaré que la banque pourrait </w:t>
            </w:r>
            <w:proofErr w:type="spellStart"/>
            <w:r w:rsidRPr="00A20043">
              <w:rPr>
                <w:rFonts w:ascii="Times New Roman" w:eastAsia="Times New Roman" w:hAnsi="Times New Roman" w:cs="Times New Roman"/>
                <w:color w:val="222222"/>
                <w:sz w:val="24"/>
                <w:szCs w:val="24"/>
                <w:lang w:eastAsia="fr-FR" w:bidi="he-IL"/>
              </w:rPr>
              <w:t>modifier</w:t>
            </w:r>
            <w:r w:rsidRPr="00A20043">
              <w:rPr>
                <w:rFonts w:ascii="Times New Roman" w:eastAsia="Times New Roman" w:hAnsi="Times New Roman" w:cs="Times New Roman"/>
                <w:i/>
                <w:iCs/>
                <w:color w:val="222222"/>
                <w:sz w:val="24"/>
                <w:szCs w:val="24"/>
                <w:lang w:eastAsia="fr-FR" w:bidi="he-IL"/>
              </w:rPr>
              <w:t>"la</w:t>
            </w:r>
            <w:proofErr w:type="spellEnd"/>
            <w:r w:rsidRPr="00A20043">
              <w:rPr>
                <w:rFonts w:ascii="Times New Roman" w:eastAsia="Times New Roman" w:hAnsi="Times New Roman" w:cs="Times New Roman"/>
                <w:i/>
                <w:iCs/>
                <w:color w:val="222222"/>
                <w:sz w:val="24"/>
                <w:szCs w:val="24"/>
                <w:lang w:eastAsia="fr-FR" w:bidi="he-IL"/>
              </w:rPr>
              <w:t xml:space="preserve"> taille, le rythme et la composition de nos achats."</w:t>
            </w:r>
            <w:r w:rsidRPr="00A20043">
              <w:rPr>
                <w:rFonts w:ascii="Times New Roman" w:eastAsia="Times New Roman" w:hAnsi="Times New Roman" w:cs="Times New Roman"/>
                <w:color w:val="222222"/>
                <w:sz w:val="24"/>
                <w:szCs w:val="24"/>
                <w:lang w:eastAsia="fr-FR" w:bidi="he-IL"/>
              </w:rPr>
              <w:t>  La BCE cherche à augmenter </w:t>
            </w:r>
            <w:proofErr w:type="spellStart"/>
            <w:r w:rsidRPr="00A20043">
              <w:rPr>
                <w:rFonts w:ascii="Times New Roman" w:eastAsia="Times New Roman" w:hAnsi="Times New Roman" w:cs="Times New Roman"/>
                <w:color w:val="222222"/>
                <w:sz w:val="24"/>
                <w:szCs w:val="24"/>
                <w:lang w:eastAsia="fr-FR" w:bidi="he-IL"/>
              </w:rPr>
              <w:t>letaux</w:t>
            </w:r>
            <w:proofErr w:type="spellEnd"/>
            <w:r w:rsidRPr="00A20043">
              <w:rPr>
                <w:rFonts w:ascii="Times New Roman" w:eastAsia="Times New Roman" w:hAnsi="Times New Roman" w:cs="Times New Roman"/>
                <w:color w:val="222222"/>
                <w:sz w:val="24"/>
                <w:szCs w:val="24"/>
                <w:lang w:eastAsia="fr-FR" w:bidi="he-IL"/>
              </w:rPr>
              <w:t xml:space="preserve"> d'inflation annuel, actuellement de seulement 0,4 %. Il est un signe de faiblesse de l'économie et il fait craindre que les 18 pays qui utilisent l'euro </w:t>
            </w:r>
            <w:proofErr w:type="gramStart"/>
            <w:r w:rsidRPr="00A20043">
              <w:rPr>
                <w:rFonts w:ascii="Times New Roman" w:eastAsia="Times New Roman" w:hAnsi="Times New Roman" w:cs="Times New Roman"/>
                <w:color w:val="222222"/>
                <w:sz w:val="24"/>
                <w:szCs w:val="24"/>
                <w:lang w:eastAsia="fr-FR" w:bidi="he-IL"/>
              </w:rPr>
              <w:t>resteront</w:t>
            </w:r>
            <w:proofErr w:type="gramEnd"/>
            <w:r w:rsidRPr="00A20043">
              <w:rPr>
                <w:rFonts w:ascii="Times New Roman" w:eastAsia="Times New Roman" w:hAnsi="Times New Roman" w:cs="Times New Roman"/>
                <w:color w:val="222222"/>
                <w:sz w:val="24"/>
                <w:szCs w:val="24"/>
                <w:lang w:eastAsia="fr-FR" w:bidi="he-IL"/>
              </w:rPr>
              <w:t xml:space="preserve"> coincés dans une période prolongée de faible croissance et de chômage élevé. </w:t>
            </w:r>
          </w:p>
        </w:tc>
      </w:tr>
      <w:tr w:rsidR="00A20043" w:rsidRPr="00A20043" w:rsidTr="00A20043">
        <w:trPr>
          <w:tblCellSpacing w:w="75" w:type="dxa"/>
        </w:trPr>
        <w:tc>
          <w:tcPr>
            <w:tcW w:w="0" w:type="auto"/>
            <w:tcBorders>
              <w:top w:val="nil"/>
              <w:left w:val="single" w:sz="48" w:space="0" w:color="D7D7D7"/>
              <w:bottom w:val="nil"/>
              <w:right w:val="nil"/>
            </w:tcBorders>
            <w:shd w:val="clear" w:color="auto" w:fill="FFFFFF"/>
            <w:tcMar>
              <w:top w:w="0" w:type="dxa"/>
              <w:left w:w="75" w:type="dxa"/>
              <w:bottom w:w="0" w:type="dxa"/>
              <w:right w:w="0" w:type="dxa"/>
            </w:tcMar>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i/>
                <w:iCs/>
                <w:color w:val="222222"/>
                <w:sz w:val="24"/>
                <w:szCs w:val="24"/>
                <w:lang w:eastAsia="fr-FR" w:bidi="he-IL"/>
              </w:rPr>
              <w:lastRenderedPageBreak/>
              <w:t>"Les Bourses européennes ont terminé jeudi généralement en baisse, touchées par la morosité de la zone euro. Vendredi matin, elles repartaient à la hausse, satisfaites des propos de "Super Mario".</w:t>
            </w:r>
          </w:p>
        </w:tc>
      </w:tr>
      <w:tr w:rsidR="00A20043" w:rsidRPr="00A20043" w:rsidTr="00A20043">
        <w:trPr>
          <w:trHeight w:val="15"/>
          <w:tblCellSpacing w:w="75" w:type="dxa"/>
        </w:trPr>
        <w:tc>
          <w:tcPr>
            <w:tcW w:w="0" w:type="auto"/>
            <w:shd w:val="clear" w:color="auto" w:fill="FFFFFF"/>
            <w:vAlign w:val="center"/>
            <w:hideMark/>
          </w:tcPr>
          <w:p w:rsidR="00A20043" w:rsidRPr="00A20043" w:rsidRDefault="00A20043" w:rsidP="00A20043">
            <w:pPr>
              <w:spacing w:after="0" w:line="240" w:lineRule="auto"/>
              <w:rPr>
                <w:rFonts w:ascii="Arial" w:eastAsia="Times New Roman" w:hAnsi="Arial" w:cs="Arial"/>
                <w:color w:val="222222"/>
                <w:sz w:val="2"/>
                <w:szCs w:val="15"/>
                <w:lang w:eastAsia="fr-FR" w:bidi="he-IL"/>
              </w:rPr>
            </w:pP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color w:val="222222"/>
                <w:sz w:val="24"/>
                <w:szCs w:val="24"/>
                <w:lang w:eastAsia="fr-FR" w:bidi="he-IL"/>
              </w:rPr>
              <w:t>L'UE a le droit de limiter les bonus des banquiers, Londres s'incline</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t>La réglementation européenne limitant les bonus des banquiers par rapport à leur rémunération fixe, remise en cause par </w:t>
            </w:r>
            <w:proofErr w:type="spellStart"/>
            <w:r w:rsidRPr="00A20043">
              <w:rPr>
                <w:rFonts w:ascii="Times New Roman" w:eastAsia="Times New Roman" w:hAnsi="Times New Roman" w:cs="Times New Roman"/>
                <w:color w:val="222222"/>
                <w:sz w:val="24"/>
                <w:szCs w:val="24"/>
                <w:lang w:eastAsia="fr-FR" w:bidi="he-IL"/>
              </w:rPr>
              <w:t>leRoyaume</w:t>
            </w:r>
            <w:proofErr w:type="spellEnd"/>
            <w:r w:rsidRPr="00A20043">
              <w:rPr>
                <w:rFonts w:ascii="Times New Roman" w:eastAsia="Times New Roman" w:hAnsi="Times New Roman" w:cs="Times New Roman"/>
                <w:color w:val="222222"/>
                <w:sz w:val="24"/>
                <w:szCs w:val="24"/>
                <w:lang w:eastAsia="fr-FR" w:bidi="he-IL"/>
              </w:rPr>
              <w:t xml:space="preserve">-Uni, est valide, a estimé jeudi l'avocat général de la Cour de justice de l'UE. Un ensemble de mesures a été adopté en 2013 au niveau européen pour renforcer la réglementation et la stabilité des marchés financiers. Il est entré en vigueur début 2014. L'une des dispositions fixe un ratio entre la rémunération fixe des cadres bancaires et leur rémunération variable, soit entre leur salaire de base et leurs primes. La structure de leur rémunération avait été considérée comme un des facteurs de la crise financière, car susceptible d'encourager ces salariés à prendre des risques excessifs pour empocher des bonus. Le Royaume-Uni, où le secteur financier pèse un poids majeur </w:t>
            </w:r>
            <w:r w:rsidRPr="00A20043">
              <w:rPr>
                <w:rFonts w:ascii="Times New Roman" w:eastAsia="Times New Roman" w:hAnsi="Times New Roman" w:cs="Times New Roman"/>
                <w:color w:val="222222"/>
                <w:sz w:val="24"/>
                <w:szCs w:val="24"/>
                <w:lang w:eastAsia="fr-FR" w:bidi="he-IL"/>
              </w:rPr>
              <w:lastRenderedPageBreak/>
              <w:t>dans l'économie, avait immédiatement remis en cause cette disposition et saisi la Cour de justice de l'UE d'un recours en annulation. Jeudi soir, le ministre des finances britannique, George Osborne, a indiqué qu'il abandonnait ces poursuites. </w:t>
            </w:r>
          </w:p>
        </w:tc>
      </w:tr>
      <w:tr w:rsidR="00A20043" w:rsidRPr="00A20043" w:rsidTr="00A20043">
        <w:trPr>
          <w:tblCellSpacing w:w="75" w:type="dxa"/>
        </w:trPr>
        <w:tc>
          <w:tcPr>
            <w:tcW w:w="0" w:type="auto"/>
            <w:tcBorders>
              <w:top w:val="nil"/>
              <w:left w:val="single" w:sz="48" w:space="0" w:color="D7D7D7"/>
              <w:bottom w:val="nil"/>
              <w:right w:val="nil"/>
            </w:tcBorders>
            <w:shd w:val="clear" w:color="auto" w:fill="FFFFFF"/>
            <w:tcMar>
              <w:top w:w="0" w:type="dxa"/>
              <w:left w:w="75" w:type="dxa"/>
              <w:bottom w:w="0" w:type="dxa"/>
              <w:right w:w="0" w:type="dxa"/>
            </w:tcMar>
            <w:vAlign w:val="center"/>
            <w:hideMark/>
          </w:tcPr>
          <w:p w:rsidR="00A20043" w:rsidRPr="00A20043" w:rsidRDefault="00A20043" w:rsidP="00A20043">
            <w:pPr>
              <w:spacing w:after="0" w:line="240" w:lineRule="auto"/>
              <w:jc w:val="both"/>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i/>
                <w:iCs/>
                <w:color w:val="222222"/>
                <w:sz w:val="24"/>
                <w:szCs w:val="24"/>
                <w:lang w:eastAsia="fr-FR" w:bidi="he-IL"/>
              </w:rPr>
              <w:lastRenderedPageBreak/>
              <w:t>Même si les conclusions de l'avocat général ne lient par la Cour européenne de justice, cette dernière suit son avis dans la plupart de cas.</w:t>
            </w:r>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t> </w:t>
      </w:r>
    </w:p>
    <w:tbl>
      <w:tblPr>
        <w:tblW w:w="4620" w:type="dxa"/>
        <w:tblCellSpacing w:w="0" w:type="dxa"/>
        <w:shd w:val="clear" w:color="auto" w:fill="BFE1E7"/>
        <w:tblCellMar>
          <w:left w:w="0" w:type="dxa"/>
          <w:right w:w="0" w:type="dxa"/>
        </w:tblCellMar>
        <w:tblLook w:val="04A0"/>
      </w:tblPr>
      <w:tblGrid>
        <w:gridCol w:w="5670"/>
      </w:tblGrid>
      <w:tr w:rsidR="00A20043" w:rsidRPr="00A20043" w:rsidTr="00A20043">
        <w:trPr>
          <w:tblCellSpacing w:w="0" w:type="dxa"/>
        </w:trPr>
        <w:tc>
          <w:tcPr>
            <w:tcW w:w="0" w:type="auto"/>
            <w:shd w:val="clear" w:color="auto" w:fill="BFE1E7"/>
            <w:tcMar>
              <w:top w:w="150" w:type="dxa"/>
              <w:left w:w="150" w:type="dxa"/>
              <w:bottom w:w="150" w:type="dxa"/>
              <w:right w:w="150" w:type="dxa"/>
            </w:tcMar>
            <w:vAlign w:val="center"/>
            <w:hideMark/>
          </w:tcPr>
          <w:tbl>
            <w:tblPr>
              <w:tblW w:w="0" w:type="auto"/>
              <w:tblCellSpacing w:w="0" w:type="dxa"/>
              <w:tblCellMar>
                <w:left w:w="0" w:type="dxa"/>
                <w:right w:w="0" w:type="dxa"/>
              </w:tblCellMar>
              <w:tblLook w:val="04A0"/>
            </w:tblPr>
            <w:tblGrid>
              <w:gridCol w:w="2812"/>
              <w:gridCol w:w="2558"/>
            </w:tblGrid>
            <w:tr w:rsidR="00A20043" w:rsidRPr="00A20043">
              <w:trPr>
                <w:tblCellSpacing w:w="0" w:type="dxa"/>
              </w:trPr>
              <w:tc>
                <w:tcPr>
                  <w:tcW w:w="0" w:type="auto"/>
                  <w:gridSpan w:val="2"/>
                  <w:tcBorders>
                    <w:top w:val="nil"/>
                    <w:left w:val="nil"/>
                    <w:bottom w:val="single" w:sz="36" w:space="0" w:color="B0B0B0"/>
                    <w:right w:val="nil"/>
                  </w:tcBorders>
                  <w:tcMar>
                    <w:top w:w="75" w:type="dxa"/>
                    <w:left w:w="75" w:type="dxa"/>
                    <w:bottom w:w="45" w:type="dxa"/>
                    <w:right w:w="75" w:type="dxa"/>
                  </w:tcMar>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TEXTOS</w:t>
                  </w:r>
                </w:p>
              </w:tc>
            </w:tr>
            <w:tr w:rsidR="00A20043" w:rsidRPr="00A20043">
              <w:trPr>
                <w:tblCellSpacing w:w="0" w:type="dxa"/>
              </w:trPr>
              <w:tc>
                <w:tcPr>
                  <w:tcW w:w="2250" w:type="dxa"/>
                  <w:tcMar>
                    <w:top w:w="75" w:type="dxa"/>
                    <w:left w:w="75" w:type="dxa"/>
                    <w:bottom w:w="75" w:type="dxa"/>
                    <w:right w:w="75" w:type="dxa"/>
                  </w:tcMar>
                  <w:hideMark/>
                </w:tcPr>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xml:space="preserve">Environnement </w:t>
                  </w:r>
                  <w:proofErr w:type="gramStart"/>
                  <w:r w:rsidRPr="00A20043">
                    <w:rPr>
                      <w:rFonts w:ascii="Times New Roman" w:eastAsia="Times New Roman" w:hAnsi="Times New Roman" w:cs="Times New Roman"/>
                      <w:b/>
                      <w:bCs/>
                      <w:sz w:val="24"/>
                      <w:szCs w:val="24"/>
                      <w:lang w:eastAsia="fr-FR" w:bidi="he-IL"/>
                    </w:rPr>
                    <w:t>:</w:t>
                  </w:r>
                  <w:r w:rsidRPr="00A20043">
                    <w:rPr>
                      <w:rFonts w:ascii="Times New Roman" w:eastAsia="Times New Roman" w:hAnsi="Times New Roman" w:cs="Times New Roman"/>
                      <w:sz w:val="24"/>
                      <w:szCs w:val="24"/>
                      <w:lang w:eastAsia="fr-FR" w:bidi="he-IL"/>
                    </w:rPr>
                    <w:t>l'empreinte</w:t>
                  </w:r>
                  <w:proofErr w:type="gramEnd"/>
                  <w:r w:rsidRPr="00A20043">
                    <w:rPr>
                      <w:rFonts w:ascii="Times New Roman" w:eastAsia="Times New Roman" w:hAnsi="Times New Roman" w:cs="Times New Roman"/>
                      <w:sz w:val="24"/>
                      <w:szCs w:val="24"/>
                      <w:lang w:eastAsia="fr-FR" w:bidi="he-IL"/>
                    </w:rPr>
                    <w:t xml:space="preserve"> carbone des Français peut être réduite de 17 % en 2030 par rapport à 2007 si la France s'engage dans </w:t>
                  </w:r>
                  <w:r w:rsidRPr="00A20043">
                    <w:rPr>
                      <w:rFonts w:ascii="Times New Roman" w:eastAsia="Times New Roman" w:hAnsi="Times New Roman" w:cs="Times New Roman"/>
                      <w:i/>
                      <w:iCs/>
                      <w:sz w:val="24"/>
                      <w:szCs w:val="24"/>
                      <w:lang w:eastAsia="fr-FR" w:bidi="he-IL"/>
                    </w:rPr>
                    <w:t>"une transition écologique ambitieuse" </w:t>
                  </w:r>
                  <w:proofErr w:type="spellStart"/>
                  <w:r w:rsidRPr="00A20043">
                    <w:rPr>
                      <w:rFonts w:ascii="Times New Roman" w:eastAsia="Times New Roman" w:hAnsi="Times New Roman" w:cs="Times New Roman"/>
                      <w:sz w:val="24"/>
                      <w:szCs w:val="24"/>
                      <w:lang w:eastAsia="fr-FR" w:bidi="he-IL"/>
                    </w:rPr>
                    <w:t>impliquant</w:t>
                  </w:r>
                  <w:r w:rsidRPr="00A20043">
                    <w:rPr>
                      <w:rFonts w:ascii="Times New Roman" w:eastAsia="Times New Roman" w:hAnsi="Times New Roman" w:cs="Times New Roman"/>
                      <w:i/>
                      <w:iCs/>
                      <w:sz w:val="24"/>
                      <w:szCs w:val="24"/>
                      <w:lang w:eastAsia="fr-FR" w:bidi="he-IL"/>
                    </w:rPr>
                    <w:t>"des</w:t>
                  </w:r>
                  <w:proofErr w:type="spellEnd"/>
                  <w:r w:rsidRPr="00A20043">
                    <w:rPr>
                      <w:rFonts w:ascii="Times New Roman" w:eastAsia="Times New Roman" w:hAnsi="Times New Roman" w:cs="Times New Roman"/>
                      <w:i/>
                      <w:iCs/>
                      <w:sz w:val="24"/>
                      <w:szCs w:val="24"/>
                      <w:lang w:eastAsia="fr-FR" w:bidi="he-IL"/>
                    </w:rPr>
                    <w:t xml:space="preserve"> </w:t>
                  </w:r>
                  <w:proofErr w:type="spellStart"/>
                  <w:r w:rsidRPr="00A20043">
                    <w:rPr>
                      <w:rFonts w:ascii="Times New Roman" w:eastAsia="Times New Roman" w:hAnsi="Times New Roman" w:cs="Times New Roman"/>
                      <w:i/>
                      <w:iCs/>
                      <w:sz w:val="24"/>
                      <w:szCs w:val="24"/>
                      <w:lang w:eastAsia="fr-FR" w:bidi="he-IL"/>
                    </w:rPr>
                    <w:t>changem</w:t>
                  </w:r>
                  <w:proofErr w:type="spellEnd"/>
                </w:p>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proofErr w:type="spellStart"/>
                  <w:r w:rsidRPr="00A20043">
                    <w:rPr>
                      <w:rFonts w:ascii="Times New Roman" w:eastAsia="Times New Roman" w:hAnsi="Times New Roman" w:cs="Times New Roman"/>
                      <w:i/>
                      <w:iCs/>
                      <w:sz w:val="24"/>
                      <w:szCs w:val="24"/>
                      <w:lang w:eastAsia="fr-FR" w:bidi="he-IL"/>
                    </w:rPr>
                    <w:t>ents</w:t>
                  </w:r>
                  <w:proofErr w:type="spellEnd"/>
                  <w:r w:rsidRPr="00A20043">
                    <w:rPr>
                      <w:rFonts w:ascii="Times New Roman" w:eastAsia="Times New Roman" w:hAnsi="Times New Roman" w:cs="Times New Roman"/>
                      <w:i/>
                      <w:iCs/>
                      <w:sz w:val="24"/>
                      <w:szCs w:val="24"/>
                      <w:lang w:eastAsia="fr-FR" w:bidi="he-IL"/>
                    </w:rPr>
                    <w:t xml:space="preserve"> profonds"</w:t>
                  </w:r>
                  <w:r w:rsidRPr="00A20043">
                    <w:rPr>
                      <w:rFonts w:ascii="Times New Roman" w:eastAsia="Times New Roman" w:hAnsi="Times New Roman" w:cs="Times New Roman"/>
                      <w:sz w:val="24"/>
                      <w:szCs w:val="24"/>
                      <w:lang w:eastAsia="fr-FR" w:bidi="he-IL"/>
                    </w:rPr>
                    <w:t> de son économie et des modes de vie, </w:t>
                  </w:r>
                  <w:hyperlink r:id="rId7" w:tgtFrame="_blank" w:history="1">
                    <w:r w:rsidRPr="00A20043">
                      <w:rPr>
                        <w:rFonts w:ascii="Times New Roman" w:eastAsia="Times New Roman" w:hAnsi="Times New Roman" w:cs="Times New Roman"/>
                        <w:color w:val="1155CC"/>
                        <w:sz w:val="24"/>
                        <w:szCs w:val="24"/>
                        <w:u w:val="single"/>
                        <w:lang w:eastAsia="fr-FR" w:bidi="he-IL"/>
                      </w:rPr>
                      <w:t>estime l'</w:t>
                    </w:r>
                    <w:proofErr w:type="spellStart"/>
                    <w:r w:rsidRPr="00A20043">
                      <w:rPr>
                        <w:rFonts w:ascii="Times New Roman" w:eastAsia="Times New Roman" w:hAnsi="Times New Roman" w:cs="Times New Roman"/>
                        <w:color w:val="1155CC"/>
                        <w:sz w:val="24"/>
                        <w:szCs w:val="24"/>
                        <w:u w:val="single"/>
                        <w:lang w:eastAsia="fr-FR" w:bidi="he-IL"/>
                      </w:rPr>
                      <w:t>Ademe</w:t>
                    </w:r>
                  </w:hyperlink>
                  <w:r w:rsidRPr="00A20043">
                    <w:rPr>
                      <w:rFonts w:ascii="Times New Roman" w:eastAsia="Times New Roman" w:hAnsi="Times New Roman" w:cs="Times New Roman"/>
                      <w:sz w:val="24"/>
                      <w:szCs w:val="24"/>
                      <w:lang w:eastAsia="fr-FR" w:bidi="he-IL"/>
                    </w:rPr>
                    <w:t>vendredi</w:t>
                  </w:r>
                  <w:proofErr w:type="spellEnd"/>
                  <w:r w:rsidRPr="00A20043">
                    <w:rPr>
                      <w:rFonts w:ascii="Times New Roman" w:eastAsia="Times New Roman" w:hAnsi="Times New Roman" w:cs="Times New Roman"/>
                      <w:sz w:val="24"/>
                      <w:szCs w:val="24"/>
                      <w:lang w:eastAsia="fr-FR" w:bidi="he-IL"/>
                    </w:rPr>
                    <w:t>. Ce résultat correspond à l'émission d'environ sept tonnes de gaz à effet de serre par personne et par an en 2030, précise l'Agence de l'environnement et de la maîtrise de l'énergie (</w:t>
                  </w:r>
                  <w:proofErr w:type="spellStart"/>
                  <w:r w:rsidRPr="00A20043">
                    <w:rPr>
                      <w:rFonts w:ascii="Times New Roman" w:eastAsia="Times New Roman" w:hAnsi="Times New Roman" w:cs="Times New Roman"/>
                      <w:sz w:val="24"/>
                      <w:szCs w:val="24"/>
                      <w:lang w:eastAsia="fr-FR" w:bidi="he-IL"/>
                    </w:rPr>
                    <w:t>Ademe</w:t>
                  </w:r>
                  <w:proofErr w:type="spellEnd"/>
                  <w:r w:rsidRPr="00A20043">
                    <w:rPr>
                      <w:rFonts w:ascii="Times New Roman" w:eastAsia="Times New Roman" w:hAnsi="Times New Roman" w:cs="Times New Roman"/>
                      <w:sz w:val="24"/>
                      <w:szCs w:val="24"/>
                      <w:lang w:eastAsia="fr-FR" w:bidi="he-IL"/>
                    </w:rPr>
                    <w:t>) dans une étude consacrée aux moyens d'</w:t>
                  </w:r>
                  <w:r w:rsidRPr="00A20043">
                    <w:rPr>
                      <w:rFonts w:ascii="Times New Roman" w:eastAsia="Times New Roman" w:hAnsi="Times New Roman" w:cs="Times New Roman"/>
                      <w:i/>
                      <w:iCs/>
                      <w:sz w:val="24"/>
                      <w:szCs w:val="24"/>
                      <w:lang w:eastAsia="fr-FR" w:bidi="he-IL"/>
                    </w:rPr>
                    <w:t>"alléger l'empreinte environnementale de la consommation des Français en 2030"</w:t>
                  </w:r>
                  <w:r w:rsidRPr="00A20043">
                    <w:rPr>
                      <w:rFonts w:ascii="Times New Roman" w:eastAsia="Times New Roman" w:hAnsi="Times New Roman" w:cs="Times New Roman"/>
                      <w:sz w:val="24"/>
                      <w:szCs w:val="24"/>
                      <w:lang w:eastAsia="fr-FR" w:bidi="he-IL"/>
                    </w:rPr>
                    <w:t>.</w:t>
                  </w:r>
                </w:p>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Art :</w:t>
                  </w:r>
                  <w:r w:rsidRPr="00A20043">
                    <w:rPr>
                      <w:rFonts w:ascii="Times New Roman" w:eastAsia="Times New Roman" w:hAnsi="Times New Roman" w:cs="Times New Roman"/>
                      <w:sz w:val="24"/>
                      <w:szCs w:val="24"/>
                      <w:lang w:eastAsia="fr-FR" w:bidi="he-IL"/>
                    </w:rPr>
                    <w:t> </w:t>
                  </w:r>
                  <w:hyperlink r:id="rId8" w:tgtFrame="_blank" w:history="1">
                    <w:r w:rsidRPr="00A20043">
                      <w:rPr>
                        <w:rFonts w:ascii="Times New Roman" w:eastAsia="Times New Roman" w:hAnsi="Times New Roman" w:cs="Times New Roman"/>
                        <w:color w:val="1155CC"/>
                        <w:sz w:val="24"/>
                        <w:szCs w:val="24"/>
                        <w:u w:val="single"/>
                        <w:lang w:eastAsia="fr-FR" w:bidi="he-IL"/>
                      </w:rPr>
                      <w:t xml:space="preserve">un tableau de la peintre défunte américaine Georgia </w:t>
                    </w:r>
                    <w:proofErr w:type="spellStart"/>
                    <w:r w:rsidRPr="00A20043">
                      <w:rPr>
                        <w:rFonts w:ascii="Times New Roman" w:eastAsia="Times New Roman" w:hAnsi="Times New Roman" w:cs="Times New Roman"/>
                        <w:color w:val="1155CC"/>
                        <w:sz w:val="24"/>
                        <w:szCs w:val="24"/>
                        <w:u w:val="single"/>
                        <w:lang w:eastAsia="fr-FR" w:bidi="he-IL"/>
                      </w:rPr>
                      <w:t>O'Keeffe</w:t>
                    </w:r>
                    <w:proofErr w:type="spellEnd"/>
                    <w:r w:rsidRPr="00A20043">
                      <w:rPr>
                        <w:rFonts w:ascii="Times New Roman" w:eastAsia="Times New Roman" w:hAnsi="Times New Roman" w:cs="Times New Roman"/>
                        <w:color w:val="1155CC"/>
                        <w:sz w:val="24"/>
                        <w:szCs w:val="24"/>
                        <w:u w:val="single"/>
                        <w:lang w:eastAsia="fr-FR" w:bidi="he-IL"/>
                      </w:rPr>
                      <w:t xml:space="preserve"> a été vendu plus de 44,4 millions de dollars à New York jeudi</w:t>
                    </w:r>
                  </w:hyperlink>
                  <w:r w:rsidRPr="00A20043">
                    <w:rPr>
                      <w:rFonts w:ascii="Times New Roman" w:eastAsia="Times New Roman" w:hAnsi="Times New Roman" w:cs="Times New Roman"/>
                      <w:sz w:val="24"/>
                      <w:szCs w:val="24"/>
                      <w:lang w:eastAsia="fr-FR" w:bidi="he-IL"/>
                    </w:rPr>
                    <w:t xml:space="preserve">, établissant un </w:t>
                  </w:r>
                  <w:r w:rsidRPr="00A20043">
                    <w:rPr>
                      <w:rFonts w:ascii="Times New Roman" w:eastAsia="Times New Roman" w:hAnsi="Times New Roman" w:cs="Times New Roman"/>
                      <w:sz w:val="24"/>
                      <w:szCs w:val="24"/>
                      <w:lang w:eastAsia="fr-FR" w:bidi="he-IL"/>
                    </w:rPr>
                    <w:lastRenderedPageBreak/>
                    <w:t>nouveau record mondial lors </w:t>
                  </w:r>
                  <w:r w:rsidRPr="00A20043">
                    <w:rPr>
                      <w:rFonts w:ascii="Times New Roman" w:eastAsia="Times New Roman" w:hAnsi="Times New Roman" w:cs="Times New Roman"/>
                      <w:sz w:val="24"/>
                      <w:szCs w:val="24"/>
                      <w:lang w:eastAsia="fr-FR" w:bidi="he-IL"/>
                    </w:rPr>
                    <w:br/>
                    <w:t>d'une vente aux enchères pour une artiste féminine.</w:t>
                  </w:r>
                </w:p>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Union européenne :</w:t>
                  </w:r>
                  <w:proofErr w:type="spellStart"/>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sz w:val="24"/>
                      <w:szCs w:val="24"/>
                      <w:lang w:eastAsia="fr-FR" w:bidi="he-IL"/>
                    </w:rPr>
                    <w:t>président</w:t>
                  </w:r>
                  <w:proofErr w:type="spellEnd"/>
                  <w:r w:rsidRPr="00A20043">
                    <w:rPr>
                      <w:rFonts w:ascii="Times New Roman" w:eastAsia="Times New Roman" w:hAnsi="Times New Roman" w:cs="Times New Roman"/>
                      <w:sz w:val="24"/>
                      <w:szCs w:val="24"/>
                      <w:lang w:eastAsia="fr-FR" w:bidi="he-IL"/>
                    </w:rPr>
                    <w:t xml:space="preserve"> de la Commission européenne, </w:t>
                  </w:r>
                  <w:hyperlink r:id="rId9" w:tgtFrame="_blank" w:history="1">
                    <w:r w:rsidRPr="00A20043">
                      <w:rPr>
                        <w:rFonts w:ascii="Times New Roman" w:eastAsia="Times New Roman" w:hAnsi="Times New Roman" w:cs="Times New Roman"/>
                        <w:color w:val="1155CC"/>
                        <w:sz w:val="24"/>
                        <w:szCs w:val="24"/>
                        <w:u w:val="single"/>
                        <w:lang w:eastAsia="fr-FR" w:bidi="he-IL"/>
                      </w:rPr>
                      <w:t xml:space="preserve">Jean-Claude Juncker, va dévoiler </w:t>
                    </w:r>
                    <w:proofErr w:type="spellStart"/>
                    <w:r w:rsidRPr="00A20043">
                      <w:rPr>
                        <w:rFonts w:ascii="Times New Roman" w:eastAsia="Times New Roman" w:hAnsi="Times New Roman" w:cs="Times New Roman"/>
                        <w:color w:val="1155CC"/>
                        <w:sz w:val="24"/>
                        <w:szCs w:val="24"/>
                        <w:u w:val="single"/>
                        <w:lang w:eastAsia="fr-FR" w:bidi="he-IL"/>
                      </w:rPr>
                      <w:t>mercredi</w:t>
                    </w:r>
                  </w:hyperlink>
                  <w:r w:rsidRPr="00A20043">
                    <w:rPr>
                      <w:rFonts w:ascii="Times New Roman" w:eastAsia="Times New Roman" w:hAnsi="Times New Roman" w:cs="Times New Roman"/>
                      <w:sz w:val="24"/>
                      <w:szCs w:val="24"/>
                      <w:lang w:eastAsia="fr-FR" w:bidi="he-IL"/>
                    </w:rPr>
                    <w:t>prochain</w:t>
                  </w:r>
                  <w:proofErr w:type="spellEnd"/>
                  <w:r w:rsidRPr="00A20043">
                    <w:rPr>
                      <w:rFonts w:ascii="Times New Roman" w:eastAsia="Times New Roman" w:hAnsi="Times New Roman" w:cs="Times New Roman"/>
                      <w:sz w:val="24"/>
                      <w:szCs w:val="24"/>
                      <w:lang w:eastAsia="fr-FR" w:bidi="he-IL"/>
                    </w:rPr>
                    <w:t xml:space="preserve"> son très attendu plan d'investissement de 300 milliards d'euros destiné à stimuler l'emploi et la croissance chancelante en Europe, ont indiqué vendredi des responsables de l'UE.</w:t>
                  </w:r>
                </w:p>
              </w:tc>
              <w:tc>
                <w:tcPr>
                  <w:tcW w:w="2250" w:type="dxa"/>
                  <w:tcMar>
                    <w:top w:w="75" w:type="dxa"/>
                    <w:left w:w="75" w:type="dxa"/>
                    <w:bottom w:w="75" w:type="dxa"/>
                    <w:right w:w="75" w:type="dxa"/>
                  </w:tcMar>
                  <w:hideMark/>
                </w:tcPr>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lastRenderedPageBreak/>
                    <w:t>Sanofi :</w:t>
                  </w:r>
                  <w:r w:rsidRPr="00A20043">
                    <w:rPr>
                      <w:rFonts w:ascii="Times New Roman" w:eastAsia="Times New Roman" w:hAnsi="Times New Roman" w:cs="Times New Roman"/>
                      <w:sz w:val="24"/>
                      <w:szCs w:val="24"/>
                      <w:lang w:eastAsia="fr-FR" w:bidi="he-IL"/>
                    </w:rPr>
                    <w:t> Serge Weinberg, qui a pris les rênes de Sanofi après l'éviction de son directeur général il y trois semaines, a assuré jeudi qu'il y avait bien un </w:t>
                  </w:r>
                  <w:r w:rsidRPr="00A20043">
                    <w:rPr>
                      <w:rFonts w:ascii="Times New Roman" w:eastAsia="Times New Roman" w:hAnsi="Times New Roman" w:cs="Times New Roman"/>
                      <w:i/>
                      <w:iCs/>
                      <w:sz w:val="24"/>
                      <w:szCs w:val="24"/>
                      <w:lang w:eastAsia="fr-FR" w:bidi="he-IL"/>
                    </w:rPr>
                    <w:t>"pilote aux commandes" </w:t>
                  </w:r>
                  <w:r w:rsidRPr="00A20043">
                    <w:rPr>
                      <w:rFonts w:ascii="Times New Roman" w:eastAsia="Times New Roman" w:hAnsi="Times New Roman" w:cs="Times New Roman"/>
                      <w:sz w:val="24"/>
                      <w:szCs w:val="24"/>
                      <w:lang w:eastAsia="fr-FR" w:bidi="he-IL"/>
                    </w:rPr>
                    <w:t>et a réaffirmé la validité de la stratégie suivie, face aux interrogations suscitées par ce changement brutal.</w:t>
                  </w:r>
                  <w:r w:rsidRPr="00A20043">
                    <w:rPr>
                      <w:rFonts w:ascii="Times New Roman" w:eastAsia="Times New Roman" w:hAnsi="Times New Roman" w:cs="Times New Roman"/>
                      <w:sz w:val="24"/>
                      <w:szCs w:val="24"/>
                      <w:lang w:eastAsia="fr-FR" w:bidi="he-IL"/>
                    </w:rPr>
                    <w:br/>
                  </w:r>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sz w:val="24"/>
                      <w:szCs w:val="24"/>
                      <w:lang w:eastAsia="fr-FR" w:bidi="he-IL"/>
                    </w:rPr>
                    <w:t> groupe pharmaceutique s'est efforcé de dissiper d'éventuels doutes sur </w:t>
                  </w:r>
                  <w:proofErr w:type="spellStart"/>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sz w:val="24"/>
                      <w:szCs w:val="24"/>
                      <w:lang w:eastAsia="fr-FR" w:bidi="he-IL"/>
                    </w:rPr>
                    <w:t>cap</w:t>
                  </w:r>
                  <w:proofErr w:type="spellEnd"/>
                  <w:r w:rsidRPr="00A20043">
                    <w:rPr>
                      <w:rFonts w:ascii="Times New Roman" w:eastAsia="Times New Roman" w:hAnsi="Times New Roman" w:cs="Times New Roman"/>
                      <w:sz w:val="24"/>
                      <w:szCs w:val="24"/>
                      <w:lang w:eastAsia="fr-FR" w:bidi="he-IL"/>
                    </w:rPr>
                    <w:t xml:space="preserve"> suivi, en présentant aux investisseurs </w:t>
                  </w:r>
                  <w:hyperlink r:id="rId10" w:tgtFrame="_blank" w:history="1">
                    <w:r w:rsidRPr="00A20043">
                      <w:rPr>
                        <w:rFonts w:ascii="Times New Roman" w:eastAsia="Times New Roman" w:hAnsi="Times New Roman" w:cs="Times New Roman"/>
                        <w:color w:val="1155CC"/>
                        <w:sz w:val="24"/>
                        <w:szCs w:val="24"/>
                        <w:u w:val="single"/>
                        <w:lang w:eastAsia="fr-FR" w:bidi="he-IL"/>
                      </w:rPr>
                      <w:t>un programme </w:t>
                    </w:r>
                    <w:r w:rsidRPr="00A20043">
                      <w:rPr>
                        <w:rFonts w:ascii="Times New Roman" w:eastAsia="Times New Roman" w:hAnsi="Times New Roman" w:cs="Times New Roman"/>
                        <w:i/>
                        <w:iCs/>
                        <w:color w:val="1155CC"/>
                        <w:sz w:val="24"/>
                        <w:szCs w:val="24"/>
                        <w:u w:val="single"/>
                        <w:lang w:eastAsia="fr-FR" w:bidi="he-IL"/>
                      </w:rPr>
                      <w:t>"</w:t>
                    </w:r>
                    <w:proofErr w:type="spellStart"/>
                    <w:r w:rsidRPr="00A20043">
                      <w:rPr>
                        <w:rFonts w:ascii="Times New Roman" w:eastAsia="Times New Roman" w:hAnsi="Times New Roman" w:cs="Times New Roman"/>
                        <w:i/>
                        <w:iCs/>
                        <w:color w:val="1155CC"/>
                        <w:sz w:val="24"/>
                        <w:szCs w:val="24"/>
                        <w:u w:val="single"/>
                        <w:lang w:eastAsia="fr-FR" w:bidi="he-IL"/>
                      </w:rPr>
                      <w:t>accéléré"</w:t>
                    </w:r>
                  </w:hyperlink>
                  <w:r w:rsidRPr="00A20043">
                    <w:rPr>
                      <w:rFonts w:ascii="Times New Roman" w:eastAsia="Times New Roman" w:hAnsi="Times New Roman" w:cs="Times New Roman"/>
                      <w:sz w:val="24"/>
                      <w:szCs w:val="24"/>
                      <w:lang w:eastAsia="fr-FR" w:bidi="he-IL"/>
                    </w:rPr>
                    <w:t>de</w:t>
                  </w:r>
                  <w:proofErr w:type="spellEnd"/>
                  <w:r w:rsidRPr="00A20043">
                    <w:rPr>
                      <w:rFonts w:ascii="Times New Roman" w:eastAsia="Times New Roman" w:hAnsi="Times New Roman" w:cs="Times New Roman"/>
                      <w:sz w:val="24"/>
                      <w:szCs w:val="24"/>
                      <w:lang w:eastAsia="fr-FR" w:bidi="he-IL"/>
                    </w:rPr>
                    <w:t xml:space="preserve"> 18 lancements de produits d'ici à 2020.</w:t>
                  </w:r>
                </w:p>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Japon : </w:t>
                  </w:r>
                  <w:hyperlink r:id="rId11" w:tgtFrame="_blank" w:history="1">
                    <w:r w:rsidRPr="00A20043">
                      <w:rPr>
                        <w:rFonts w:ascii="Times New Roman" w:eastAsia="Times New Roman" w:hAnsi="Times New Roman" w:cs="Times New Roman"/>
                        <w:color w:val="1155CC"/>
                        <w:sz w:val="24"/>
                        <w:szCs w:val="24"/>
                        <w:u w:val="single"/>
                        <w:lang w:eastAsia="fr-FR" w:bidi="he-IL"/>
                      </w:rPr>
                      <w:t>la chambre basse du Parlement japonais a été dissoute vendredi</w:t>
                    </w:r>
                  </w:hyperlink>
                  <w:r w:rsidRPr="00A20043">
                    <w:rPr>
                      <w:rFonts w:ascii="Times New Roman" w:eastAsia="Times New Roman" w:hAnsi="Times New Roman" w:cs="Times New Roman"/>
                      <w:sz w:val="24"/>
                      <w:szCs w:val="24"/>
                      <w:lang w:eastAsia="fr-FR" w:bidi="he-IL"/>
                    </w:rPr>
                    <w:t xml:space="preserve"> sur décision du PM, </w:t>
                  </w:r>
                  <w:proofErr w:type="spellStart"/>
                  <w:r w:rsidRPr="00A20043">
                    <w:rPr>
                      <w:rFonts w:ascii="Times New Roman" w:eastAsia="Times New Roman" w:hAnsi="Times New Roman" w:cs="Times New Roman"/>
                      <w:sz w:val="24"/>
                      <w:szCs w:val="24"/>
                      <w:lang w:eastAsia="fr-FR" w:bidi="he-IL"/>
                    </w:rPr>
                    <w:t>Shinzo</w:t>
                  </w:r>
                  <w:proofErr w:type="spellEnd"/>
                  <w:r w:rsidRPr="00A20043">
                    <w:rPr>
                      <w:rFonts w:ascii="Times New Roman" w:eastAsia="Times New Roman" w:hAnsi="Times New Roman" w:cs="Times New Roman"/>
                      <w:sz w:val="24"/>
                      <w:szCs w:val="24"/>
                      <w:lang w:eastAsia="fr-FR" w:bidi="he-IL"/>
                    </w:rPr>
                    <w:t xml:space="preserve"> Abe, qui use de ce droit discrétionnaire pour une raison que 65 % de la population dit ne pas </w:t>
                  </w:r>
                  <w:r w:rsidRPr="00A20043">
                    <w:rPr>
                      <w:rFonts w:ascii="Times New Roman" w:eastAsia="Times New Roman" w:hAnsi="Times New Roman" w:cs="Times New Roman"/>
                      <w:sz w:val="24"/>
                      <w:szCs w:val="24"/>
                      <w:lang w:eastAsia="fr-FR" w:bidi="he-IL"/>
                    </w:rPr>
                    <w:lastRenderedPageBreak/>
                    <w:t>comprendre. Il veut demander aux </w:t>
                  </w:r>
                  <w:r w:rsidRPr="00A20043">
                    <w:rPr>
                      <w:rFonts w:ascii="Times New Roman" w:eastAsia="Times New Roman" w:hAnsi="Times New Roman" w:cs="Times New Roman"/>
                      <w:sz w:val="24"/>
                      <w:szCs w:val="24"/>
                      <w:lang w:eastAsia="fr-FR" w:bidi="he-IL"/>
                    </w:rPr>
                    <w:br/>
                    <w:t>électeurs leur avis avant de poursuivre sur la même voie économique (les "</w:t>
                  </w:r>
                  <w:proofErr w:type="spellStart"/>
                  <w:r w:rsidRPr="00A20043">
                    <w:rPr>
                      <w:rFonts w:ascii="Times New Roman" w:eastAsia="Times New Roman" w:hAnsi="Times New Roman" w:cs="Times New Roman"/>
                      <w:sz w:val="24"/>
                      <w:szCs w:val="24"/>
                      <w:lang w:eastAsia="fr-FR" w:bidi="he-IL"/>
                    </w:rPr>
                    <w:t>Abenomics</w:t>
                  </w:r>
                  <w:proofErr w:type="spellEnd"/>
                  <w:r w:rsidRPr="00A20043">
                    <w:rPr>
                      <w:rFonts w:ascii="Times New Roman" w:eastAsia="Times New Roman" w:hAnsi="Times New Roman" w:cs="Times New Roman"/>
                      <w:sz w:val="24"/>
                      <w:szCs w:val="24"/>
                      <w:lang w:eastAsia="fr-FR" w:bidi="he-IL"/>
                    </w:rPr>
                    <w:t>") et politique.</w:t>
                  </w:r>
                </w:p>
                <w:p w:rsidR="00A20043" w:rsidRPr="00A20043" w:rsidRDefault="00A20043" w:rsidP="00A20043">
                  <w:pPr>
                    <w:spacing w:before="75" w:after="100" w:afterAutospacing="1"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xml:space="preserve">Distribution </w:t>
                  </w:r>
                  <w:proofErr w:type="gramStart"/>
                  <w:r w:rsidRPr="00A20043">
                    <w:rPr>
                      <w:rFonts w:ascii="Times New Roman" w:eastAsia="Times New Roman" w:hAnsi="Times New Roman" w:cs="Times New Roman"/>
                      <w:b/>
                      <w:bCs/>
                      <w:sz w:val="24"/>
                      <w:szCs w:val="24"/>
                      <w:lang w:eastAsia="fr-FR" w:bidi="he-IL"/>
                    </w:rPr>
                    <w:t>:</w:t>
                  </w:r>
                  <w:proofErr w:type="gramEnd"/>
                  <w:hyperlink r:id="rId12" w:tgtFrame="_blank" w:history="1">
                    <w:r w:rsidRPr="00A20043">
                      <w:rPr>
                        <w:rFonts w:ascii="Times New Roman" w:eastAsia="Times New Roman" w:hAnsi="Times New Roman" w:cs="Times New Roman"/>
                        <w:color w:val="1155CC"/>
                        <w:sz w:val="24"/>
                        <w:szCs w:val="24"/>
                        <w:u w:val="single"/>
                        <w:lang w:eastAsia="fr-FR" w:bidi="he-IL"/>
                      </w:rPr>
                      <w:t>l'Autorité de la concurrence a autorisé Carrefour à reprendre plus de 800 magasins français de l'espagnol Dia</w:t>
                    </w:r>
                  </w:hyperlink>
                  <w:r w:rsidRPr="00A20043">
                    <w:rPr>
                      <w:rFonts w:ascii="Times New Roman" w:eastAsia="Times New Roman" w:hAnsi="Times New Roman" w:cs="Times New Roman"/>
                      <w:sz w:val="24"/>
                      <w:szCs w:val="24"/>
                      <w:lang w:eastAsia="fr-FR" w:bidi="he-IL"/>
                    </w:rPr>
                    <w:t> exploités en direct ou sous franchise.</w:t>
                  </w:r>
                  <w:r w:rsidRPr="00A20043">
                    <w:rPr>
                      <w:rFonts w:ascii="Times New Roman" w:eastAsia="Times New Roman" w:hAnsi="Times New Roman" w:cs="Times New Roman"/>
                      <w:sz w:val="24"/>
                      <w:szCs w:val="24"/>
                      <w:lang w:eastAsia="fr-FR" w:bidi="he-IL"/>
                    </w:rPr>
                    <w:br/>
                    <w:t>L'espagnol Dia, numéro 3 mondial du hard-discount, est confronté à une chute de ses ventes dans l'Hexagone, avec un CA de 2,3 milliards d'euros en 2013.</w:t>
                  </w:r>
                </w:p>
              </w:tc>
            </w:tr>
          </w:tbl>
          <w:p w:rsidR="00A20043" w:rsidRPr="00A20043" w:rsidRDefault="00A20043" w:rsidP="00A20043">
            <w:pPr>
              <w:spacing w:after="0" w:line="240" w:lineRule="auto"/>
              <w:rPr>
                <w:rFonts w:ascii="Arial" w:eastAsia="Times New Roman" w:hAnsi="Arial" w:cs="Arial"/>
                <w:color w:val="222222"/>
                <w:sz w:val="15"/>
                <w:szCs w:val="15"/>
                <w:lang w:eastAsia="fr-FR" w:bidi="he-IL"/>
              </w:rPr>
            </w:pPr>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lastRenderedPageBreak/>
        <w:t> </w:t>
      </w:r>
    </w:p>
    <w:tbl>
      <w:tblPr>
        <w:tblW w:w="4620" w:type="dxa"/>
        <w:tblCellSpacing w:w="75" w:type="dxa"/>
        <w:shd w:val="clear" w:color="auto" w:fill="FFFFFF"/>
        <w:tblCellMar>
          <w:left w:w="0" w:type="dxa"/>
          <w:right w:w="0" w:type="dxa"/>
        </w:tblCellMar>
        <w:tblLook w:val="04A0"/>
      </w:tblPr>
      <w:tblGrid>
        <w:gridCol w:w="4620"/>
      </w:tblGrid>
      <w:tr w:rsidR="00A20043" w:rsidRPr="00A20043" w:rsidTr="00A20043">
        <w:trPr>
          <w:tblCellSpacing w:w="75" w:type="dxa"/>
        </w:trPr>
        <w:tc>
          <w:tcPr>
            <w:tcW w:w="0" w:type="auto"/>
            <w:tcBorders>
              <w:top w:val="nil"/>
              <w:left w:val="nil"/>
              <w:bottom w:val="single" w:sz="36" w:space="0" w:color="B0B0B0"/>
              <w:right w:val="nil"/>
            </w:tcBorders>
            <w:shd w:val="clear" w:color="auto" w:fill="FFFFFF"/>
            <w:tcMar>
              <w:top w:w="0" w:type="dxa"/>
              <w:left w:w="0" w:type="dxa"/>
              <w:bottom w:w="45" w:type="dxa"/>
              <w:right w:w="0" w:type="dxa"/>
            </w:tcMar>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hyperlink r:id="rId13" w:tgtFrame="_blank" w:history="1">
              <w:r w:rsidRPr="00A20043">
                <w:rPr>
                  <w:rFonts w:ascii="Times New Roman" w:eastAsia="Times New Roman" w:hAnsi="Times New Roman" w:cs="Times New Roman"/>
                  <w:b/>
                  <w:bCs/>
                  <w:color w:val="000000"/>
                  <w:sz w:val="24"/>
                  <w:szCs w:val="24"/>
                  <w:u w:val="single"/>
                  <w:lang w:eastAsia="fr-FR" w:bidi="he-IL"/>
                </w:rPr>
                <w:t>POINTS MARCHÉS</w:t>
              </w:r>
            </w:hyperlink>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5.25pt"/>
              </w:pict>
            </w:r>
            <w:hyperlink r:id="rId14" w:tgtFrame="_blank" w:history="1">
              <w:r w:rsidRPr="00A20043">
                <w:rPr>
                  <w:rFonts w:ascii="Times New Roman" w:eastAsia="Times New Roman" w:hAnsi="Times New Roman" w:cs="Times New Roman"/>
                  <w:color w:val="1155CC"/>
                  <w:sz w:val="24"/>
                  <w:szCs w:val="24"/>
                  <w:u w:val="single"/>
                  <w:lang w:eastAsia="fr-FR" w:bidi="he-IL"/>
                </w:rPr>
                <w:t>Accédez à tous les points sur les marchés, en vidéo et en texte</w:t>
              </w:r>
            </w:hyperlink>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t> </w:t>
      </w:r>
    </w:p>
    <w:tbl>
      <w:tblPr>
        <w:tblW w:w="4710" w:type="dxa"/>
        <w:tblCellSpacing w:w="0" w:type="dxa"/>
        <w:shd w:val="clear" w:color="auto" w:fill="BFE1E7"/>
        <w:tblCellMar>
          <w:left w:w="0" w:type="dxa"/>
          <w:right w:w="0" w:type="dxa"/>
        </w:tblCellMar>
        <w:tblLook w:val="04A0"/>
      </w:tblPr>
      <w:tblGrid>
        <w:gridCol w:w="4710"/>
      </w:tblGrid>
      <w:tr w:rsidR="00A20043" w:rsidRPr="00A20043" w:rsidTr="00A20043">
        <w:trPr>
          <w:tblCellSpacing w:w="0" w:type="dxa"/>
        </w:trPr>
        <w:tc>
          <w:tcPr>
            <w:tcW w:w="0" w:type="auto"/>
            <w:shd w:val="clear" w:color="auto" w:fill="BFE1E7"/>
            <w:vAlign w:val="center"/>
            <w:hideMark/>
          </w:tcPr>
          <w:tbl>
            <w:tblPr>
              <w:tblW w:w="0" w:type="auto"/>
              <w:tblCellSpacing w:w="75" w:type="dxa"/>
              <w:shd w:val="clear" w:color="auto" w:fill="BFE1E7"/>
              <w:tblCellMar>
                <w:left w:w="0" w:type="dxa"/>
                <w:right w:w="0" w:type="dxa"/>
              </w:tblCellMar>
              <w:tblLook w:val="04A0"/>
            </w:tblPr>
            <w:tblGrid>
              <w:gridCol w:w="4710"/>
            </w:tblGrid>
            <w:tr w:rsidR="00A20043" w:rsidRPr="00A20043">
              <w:trPr>
                <w:tblCellSpacing w:w="75" w:type="dxa"/>
              </w:trPr>
              <w:tc>
                <w:tcPr>
                  <w:tcW w:w="0" w:type="auto"/>
                  <w:shd w:val="clear" w:color="auto" w:fill="BFE1E7"/>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pict>
                      <v:shape id="_x0000_i1026" type="#_x0000_t75" alt="" style="width:96pt;height:12.75pt"/>
                    </w:pict>
                  </w:r>
                </w:p>
              </w:tc>
            </w:tr>
            <w:tr w:rsidR="00A20043" w:rsidRPr="00A20043">
              <w:trPr>
                <w:tblCellSpacing w:w="75" w:type="dxa"/>
              </w:trPr>
              <w:tc>
                <w:tcPr>
                  <w:tcW w:w="0" w:type="auto"/>
                  <w:shd w:val="clear" w:color="auto" w:fill="BFE1E7"/>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i/>
                      <w:iCs/>
                      <w:sz w:val="24"/>
                      <w:szCs w:val="24"/>
                      <w:lang w:eastAsia="fr-FR" w:bidi="he-IL"/>
                    </w:rPr>
                    <w:t>10 milliards de dollars</w:t>
                  </w:r>
                </w:p>
              </w:tc>
            </w:tr>
            <w:tr w:rsidR="00A20043" w:rsidRPr="00A20043">
              <w:trPr>
                <w:tblCellSpacing w:w="75" w:type="dxa"/>
              </w:trPr>
              <w:tc>
                <w:tcPr>
                  <w:tcW w:w="0" w:type="auto"/>
                  <w:shd w:val="clear" w:color="auto" w:fill="BFE1E7"/>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hyperlink r:id="rId15" w:tgtFrame="_blank" w:history="1">
                    <w:r w:rsidRPr="00A20043">
                      <w:rPr>
                        <w:rFonts w:ascii="Times New Roman" w:eastAsia="Times New Roman" w:hAnsi="Times New Roman" w:cs="Times New Roman"/>
                        <w:color w:val="222222"/>
                        <w:sz w:val="24"/>
                        <w:szCs w:val="24"/>
                        <w:u w:val="single"/>
                        <w:lang w:eastAsia="fr-FR" w:bidi="he-IL"/>
                      </w:rPr>
                      <w:t>Le</w:t>
                    </w:r>
                    <w:r w:rsidRPr="00A20043">
                      <w:rPr>
                        <w:rFonts w:ascii="Times New Roman" w:eastAsia="Times New Roman" w:hAnsi="Times New Roman" w:cs="Times New Roman"/>
                        <w:color w:val="1155CC"/>
                        <w:sz w:val="24"/>
                        <w:szCs w:val="24"/>
                        <w:u w:val="single"/>
                        <w:lang w:eastAsia="fr-FR" w:bidi="he-IL"/>
                      </w:rPr>
                      <w:t xml:space="preserve"> jeu vidéo "Call of </w:t>
                    </w:r>
                    <w:proofErr w:type="spellStart"/>
                    <w:r w:rsidRPr="00A20043">
                      <w:rPr>
                        <w:rFonts w:ascii="Times New Roman" w:eastAsia="Times New Roman" w:hAnsi="Times New Roman" w:cs="Times New Roman"/>
                        <w:color w:val="1155CC"/>
                        <w:sz w:val="24"/>
                        <w:szCs w:val="24"/>
                        <w:u w:val="single"/>
                        <w:lang w:eastAsia="fr-FR" w:bidi="he-IL"/>
                      </w:rPr>
                      <w:t>duty</w:t>
                    </w:r>
                    <w:proofErr w:type="spellEnd"/>
                    <w:r w:rsidRPr="00A20043">
                      <w:rPr>
                        <w:rFonts w:ascii="Times New Roman" w:eastAsia="Times New Roman" w:hAnsi="Times New Roman" w:cs="Times New Roman"/>
                        <w:color w:val="1155CC"/>
                        <w:sz w:val="24"/>
                        <w:szCs w:val="24"/>
                        <w:u w:val="single"/>
                        <w:lang w:eastAsia="fr-FR" w:bidi="he-IL"/>
                      </w:rPr>
                      <w:t>", dont une nouvelle version est commercialisée depuis début novembre, a dépassé les 10 milliards de dollars (quelque 8 milliards d'euros) de chiffre d'affaires</w:t>
                    </w:r>
                  </w:hyperlink>
                  <w:r w:rsidRPr="00A20043">
                    <w:rPr>
                      <w:rFonts w:ascii="Times New Roman" w:eastAsia="Times New Roman" w:hAnsi="Times New Roman" w:cs="Times New Roman"/>
                      <w:color w:val="000000"/>
                      <w:sz w:val="24"/>
                      <w:szCs w:val="24"/>
                      <w:lang w:eastAsia="fr-FR" w:bidi="he-IL"/>
                    </w:rPr>
                    <w:t xml:space="preserve"> depuis la sortie du premier opus il y a onze ans. L'éditeur Activision </w:t>
                  </w:r>
                  <w:proofErr w:type="spellStart"/>
                  <w:r w:rsidRPr="00A20043">
                    <w:rPr>
                      <w:rFonts w:ascii="Times New Roman" w:eastAsia="Times New Roman" w:hAnsi="Times New Roman" w:cs="Times New Roman"/>
                      <w:color w:val="000000"/>
                      <w:sz w:val="24"/>
                      <w:szCs w:val="24"/>
                      <w:lang w:eastAsia="fr-FR" w:bidi="he-IL"/>
                    </w:rPr>
                    <w:t>Publishing</w:t>
                  </w:r>
                  <w:proofErr w:type="spellEnd"/>
                  <w:r w:rsidRPr="00A20043">
                    <w:rPr>
                      <w:rFonts w:ascii="Times New Roman" w:eastAsia="Times New Roman" w:hAnsi="Times New Roman" w:cs="Times New Roman"/>
                      <w:color w:val="000000"/>
                      <w:sz w:val="24"/>
                      <w:szCs w:val="24"/>
                      <w:lang w:eastAsia="fr-FR" w:bidi="he-IL"/>
                    </w:rPr>
                    <w:t xml:space="preserve"> a fait savoir jeudi que </w:t>
                  </w:r>
                  <w:proofErr w:type="spellStart"/>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color w:val="000000"/>
                      <w:sz w:val="24"/>
                      <w:szCs w:val="24"/>
                      <w:lang w:eastAsia="fr-FR" w:bidi="he-IL"/>
                    </w:rPr>
                    <w:t>lancement</w:t>
                  </w:r>
                  <w:proofErr w:type="spellEnd"/>
                  <w:r w:rsidRPr="00A20043">
                    <w:rPr>
                      <w:rFonts w:ascii="Times New Roman" w:eastAsia="Times New Roman" w:hAnsi="Times New Roman" w:cs="Times New Roman"/>
                      <w:color w:val="000000"/>
                      <w:sz w:val="24"/>
                      <w:szCs w:val="24"/>
                      <w:lang w:eastAsia="fr-FR" w:bidi="he-IL"/>
                    </w:rPr>
                    <w:t xml:space="preserve"> de "Call of </w:t>
                  </w:r>
                  <w:proofErr w:type="spellStart"/>
                  <w:r w:rsidRPr="00A20043">
                    <w:rPr>
                      <w:rFonts w:ascii="Times New Roman" w:eastAsia="Times New Roman" w:hAnsi="Times New Roman" w:cs="Times New Roman"/>
                      <w:color w:val="000000"/>
                      <w:sz w:val="24"/>
                      <w:szCs w:val="24"/>
                      <w:lang w:eastAsia="fr-FR" w:bidi="he-IL"/>
                    </w:rPr>
                    <w:t>duty</w:t>
                  </w:r>
                  <w:proofErr w:type="spellEnd"/>
                  <w:r w:rsidRPr="00A20043">
                    <w:rPr>
                      <w:rFonts w:ascii="Times New Roman" w:eastAsia="Times New Roman" w:hAnsi="Times New Roman" w:cs="Times New Roman"/>
                      <w:color w:val="000000"/>
                      <w:sz w:val="24"/>
                      <w:szCs w:val="24"/>
                      <w:lang w:eastAsia="fr-FR" w:bidi="he-IL"/>
                    </w:rPr>
                    <w:t xml:space="preserve"> : </w:t>
                  </w:r>
                  <w:proofErr w:type="spellStart"/>
                  <w:r w:rsidRPr="00A20043">
                    <w:rPr>
                      <w:rFonts w:ascii="Times New Roman" w:eastAsia="Times New Roman" w:hAnsi="Times New Roman" w:cs="Times New Roman"/>
                      <w:color w:val="000000"/>
                      <w:sz w:val="24"/>
                      <w:szCs w:val="24"/>
                      <w:lang w:eastAsia="fr-FR" w:bidi="he-IL"/>
                    </w:rPr>
                    <w:t>advanced</w:t>
                  </w:r>
                  <w:proofErr w:type="spellEnd"/>
                  <w:r w:rsidRPr="00A20043">
                    <w:rPr>
                      <w:rFonts w:ascii="Times New Roman" w:eastAsia="Times New Roman" w:hAnsi="Times New Roman" w:cs="Times New Roman"/>
                      <w:color w:val="000000"/>
                      <w:sz w:val="24"/>
                      <w:szCs w:val="24"/>
                      <w:lang w:eastAsia="fr-FR" w:bidi="he-IL"/>
                    </w:rPr>
                    <w:t xml:space="preserve"> </w:t>
                  </w:r>
                  <w:proofErr w:type="spellStart"/>
                  <w:r w:rsidRPr="00A20043">
                    <w:rPr>
                      <w:rFonts w:ascii="Times New Roman" w:eastAsia="Times New Roman" w:hAnsi="Times New Roman" w:cs="Times New Roman"/>
                      <w:color w:val="000000"/>
                      <w:sz w:val="24"/>
                      <w:szCs w:val="24"/>
                      <w:lang w:eastAsia="fr-FR" w:bidi="he-IL"/>
                    </w:rPr>
                    <w:t>warfare</w:t>
                  </w:r>
                  <w:proofErr w:type="spellEnd"/>
                  <w:r w:rsidRPr="00A20043">
                    <w:rPr>
                      <w:rFonts w:ascii="Times New Roman" w:eastAsia="Times New Roman" w:hAnsi="Times New Roman" w:cs="Times New Roman"/>
                      <w:color w:val="000000"/>
                      <w:sz w:val="24"/>
                      <w:szCs w:val="24"/>
                      <w:lang w:eastAsia="fr-FR" w:bidi="he-IL"/>
                    </w:rPr>
                    <w:t xml:space="preserve">" avait surpassé les débuts des autres jeux, mais également films, livres et albums sortis cette année. Depuis la commercialisation du premier "Call of </w:t>
                  </w:r>
                  <w:proofErr w:type="spellStart"/>
                  <w:r w:rsidRPr="00A20043">
                    <w:rPr>
                      <w:rFonts w:ascii="Times New Roman" w:eastAsia="Times New Roman" w:hAnsi="Times New Roman" w:cs="Times New Roman"/>
                      <w:color w:val="000000"/>
                      <w:sz w:val="24"/>
                      <w:szCs w:val="24"/>
                      <w:lang w:eastAsia="fr-FR" w:bidi="he-IL"/>
                    </w:rPr>
                    <w:t>duty</w:t>
                  </w:r>
                  <w:proofErr w:type="spellEnd"/>
                  <w:r w:rsidRPr="00A20043">
                    <w:rPr>
                      <w:rFonts w:ascii="Times New Roman" w:eastAsia="Times New Roman" w:hAnsi="Times New Roman" w:cs="Times New Roman"/>
                      <w:color w:val="000000"/>
                      <w:sz w:val="24"/>
                      <w:szCs w:val="24"/>
                      <w:lang w:eastAsia="fr-FR" w:bidi="he-IL"/>
                    </w:rPr>
                    <w:t xml:space="preserve">" en 2003, la série a généré des ventes supérieures à 10 milliards de dollars soit davantage que les recettes des sagas du cinéma </w:t>
                  </w:r>
                  <w:proofErr w:type="spellStart"/>
                  <w:r w:rsidRPr="00A20043">
                    <w:rPr>
                      <w:rFonts w:ascii="Times New Roman" w:eastAsia="Times New Roman" w:hAnsi="Times New Roman" w:cs="Times New Roman"/>
                      <w:color w:val="000000"/>
                      <w:sz w:val="24"/>
                      <w:szCs w:val="24"/>
                      <w:lang w:eastAsia="fr-FR" w:bidi="he-IL"/>
                    </w:rPr>
                    <w:t>comme</w:t>
                  </w:r>
                  <w:r w:rsidRPr="00A20043">
                    <w:rPr>
                      <w:rFonts w:ascii="Times New Roman" w:eastAsia="Times New Roman" w:hAnsi="Times New Roman" w:cs="Times New Roman"/>
                      <w:i/>
                      <w:iCs/>
                      <w:color w:val="000000"/>
                      <w:sz w:val="24"/>
                      <w:szCs w:val="24"/>
                      <w:lang w:eastAsia="fr-FR" w:bidi="he-IL"/>
                    </w:rPr>
                    <w:t>Hunger</w:t>
                  </w:r>
                  <w:proofErr w:type="spellEnd"/>
                  <w:r w:rsidRPr="00A20043">
                    <w:rPr>
                      <w:rFonts w:ascii="Times New Roman" w:eastAsia="Times New Roman" w:hAnsi="Times New Roman" w:cs="Times New Roman"/>
                      <w:i/>
                      <w:iCs/>
                      <w:color w:val="000000"/>
                      <w:sz w:val="24"/>
                      <w:szCs w:val="24"/>
                      <w:lang w:eastAsia="fr-FR" w:bidi="he-IL"/>
                    </w:rPr>
                    <w:t xml:space="preserve"> </w:t>
                  </w:r>
                  <w:proofErr w:type="spellStart"/>
                  <w:r w:rsidRPr="00A20043">
                    <w:rPr>
                      <w:rFonts w:ascii="Times New Roman" w:eastAsia="Times New Roman" w:hAnsi="Times New Roman" w:cs="Times New Roman"/>
                      <w:i/>
                      <w:iCs/>
                      <w:color w:val="000000"/>
                      <w:sz w:val="24"/>
                      <w:szCs w:val="24"/>
                      <w:lang w:eastAsia="fr-FR" w:bidi="he-IL"/>
                    </w:rPr>
                    <w:lastRenderedPageBreak/>
                    <w:t>Games</w:t>
                  </w:r>
                  <w:proofErr w:type="spellEnd"/>
                  <w:r w:rsidRPr="00A20043">
                    <w:rPr>
                      <w:rFonts w:ascii="Times New Roman" w:eastAsia="Times New Roman" w:hAnsi="Times New Roman" w:cs="Times New Roman"/>
                      <w:color w:val="000000"/>
                      <w:sz w:val="24"/>
                      <w:szCs w:val="24"/>
                      <w:lang w:eastAsia="fr-FR" w:bidi="he-IL"/>
                    </w:rPr>
                    <w:t> et </w:t>
                  </w:r>
                  <w:proofErr w:type="spellStart"/>
                  <w:r w:rsidRPr="00A20043">
                    <w:rPr>
                      <w:rFonts w:ascii="Times New Roman" w:eastAsia="Times New Roman" w:hAnsi="Times New Roman" w:cs="Times New Roman"/>
                      <w:i/>
                      <w:iCs/>
                      <w:color w:val="000000"/>
                      <w:sz w:val="24"/>
                      <w:szCs w:val="24"/>
                      <w:lang w:eastAsia="fr-FR" w:bidi="he-IL"/>
                    </w:rPr>
                    <w:t>Transformers</w:t>
                  </w:r>
                  <w:proofErr w:type="spellEnd"/>
                  <w:r w:rsidRPr="00A20043">
                    <w:rPr>
                      <w:rFonts w:ascii="Times New Roman" w:eastAsia="Times New Roman" w:hAnsi="Times New Roman" w:cs="Times New Roman"/>
                      <w:color w:val="000000"/>
                      <w:sz w:val="24"/>
                      <w:szCs w:val="24"/>
                      <w:lang w:eastAsia="fr-FR" w:bidi="he-IL"/>
                    </w:rPr>
                    <w:t xml:space="preserve">, selon Bobby </w:t>
                  </w:r>
                  <w:proofErr w:type="spellStart"/>
                  <w:r w:rsidRPr="00A20043">
                    <w:rPr>
                      <w:rFonts w:ascii="Times New Roman" w:eastAsia="Times New Roman" w:hAnsi="Times New Roman" w:cs="Times New Roman"/>
                      <w:color w:val="000000"/>
                      <w:sz w:val="24"/>
                      <w:szCs w:val="24"/>
                      <w:lang w:eastAsia="fr-FR" w:bidi="he-IL"/>
                    </w:rPr>
                    <w:t>Kotick</w:t>
                  </w:r>
                  <w:proofErr w:type="spellEnd"/>
                  <w:r w:rsidRPr="00A20043">
                    <w:rPr>
                      <w:rFonts w:ascii="Times New Roman" w:eastAsia="Times New Roman" w:hAnsi="Times New Roman" w:cs="Times New Roman"/>
                      <w:color w:val="000000"/>
                      <w:sz w:val="24"/>
                      <w:szCs w:val="24"/>
                      <w:lang w:eastAsia="fr-FR" w:bidi="he-IL"/>
                    </w:rPr>
                    <w:t xml:space="preserve">, patron de la maison-mère Activision Blizzard. Cette nouvelle version propose un face-à-face entre les fameux soldats du futur et un machiavélique mercenaire incarné par l'acteur </w:t>
                  </w:r>
                  <w:proofErr w:type="spellStart"/>
                  <w:r w:rsidRPr="00A20043">
                    <w:rPr>
                      <w:rFonts w:ascii="Times New Roman" w:eastAsia="Times New Roman" w:hAnsi="Times New Roman" w:cs="Times New Roman"/>
                      <w:color w:val="000000"/>
                      <w:sz w:val="24"/>
                      <w:szCs w:val="24"/>
                      <w:lang w:eastAsia="fr-FR" w:bidi="he-IL"/>
                    </w:rPr>
                    <w:t>oscarisé</w:t>
                  </w:r>
                  <w:proofErr w:type="spellEnd"/>
                  <w:r w:rsidRPr="00A20043">
                    <w:rPr>
                      <w:rFonts w:ascii="Times New Roman" w:eastAsia="Times New Roman" w:hAnsi="Times New Roman" w:cs="Times New Roman"/>
                      <w:color w:val="000000"/>
                      <w:sz w:val="24"/>
                      <w:szCs w:val="24"/>
                      <w:lang w:eastAsia="fr-FR" w:bidi="he-IL"/>
                    </w:rPr>
                    <w:t xml:space="preserve"> Kevin </w:t>
                  </w:r>
                  <w:proofErr w:type="spellStart"/>
                  <w:r w:rsidRPr="00A20043">
                    <w:rPr>
                      <w:rFonts w:ascii="Times New Roman" w:eastAsia="Times New Roman" w:hAnsi="Times New Roman" w:cs="Times New Roman"/>
                      <w:color w:val="000000"/>
                      <w:sz w:val="24"/>
                      <w:szCs w:val="24"/>
                      <w:lang w:eastAsia="fr-FR" w:bidi="he-IL"/>
                    </w:rPr>
                    <w:t>Spacey</w:t>
                  </w:r>
                  <w:proofErr w:type="spellEnd"/>
                  <w:r w:rsidRPr="00A20043">
                    <w:rPr>
                      <w:rFonts w:ascii="Times New Roman" w:eastAsia="Times New Roman" w:hAnsi="Times New Roman" w:cs="Times New Roman"/>
                      <w:color w:val="000000"/>
                      <w:sz w:val="24"/>
                      <w:szCs w:val="24"/>
                      <w:lang w:eastAsia="fr-FR" w:bidi="he-IL"/>
                    </w:rPr>
                    <w:t xml:space="preserve">. Les studios </w:t>
                  </w:r>
                  <w:proofErr w:type="spellStart"/>
                  <w:r w:rsidRPr="00A20043">
                    <w:rPr>
                      <w:rFonts w:ascii="Times New Roman" w:eastAsia="Times New Roman" w:hAnsi="Times New Roman" w:cs="Times New Roman"/>
                      <w:color w:val="000000"/>
                      <w:sz w:val="24"/>
                      <w:szCs w:val="24"/>
                      <w:lang w:eastAsia="fr-FR" w:bidi="he-IL"/>
                    </w:rPr>
                    <w:t>Sledgehammer</w:t>
                  </w:r>
                  <w:proofErr w:type="spellEnd"/>
                  <w:r w:rsidRPr="00A20043">
                    <w:rPr>
                      <w:rFonts w:ascii="Times New Roman" w:eastAsia="Times New Roman" w:hAnsi="Times New Roman" w:cs="Times New Roman"/>
                      <w:color w:val="000000"/>
                      <w:sz w:val="24"/>
                      <w:szCs w:val="24"/>
                      <w:lang w:eastAsia="fr-FR" w:bidi="he-IL"/>
                    </w:rPr>
                    <w:t xml:space="preserve"> ont modifié la mécanique du jeu en dotant les soldats de "combinaisons d'exosquelettes" qui leur donnent des </w:t>
                  </w:r>
                  <w:proofErr w:type="spellStart"/>
                  <w:r w:rsidRPr="00A20043">
                    <w:rPr>
                      <w:rFonts w:ascii="Times New Roman" w:eastAsia="Times New Roman" w:hAnsi="Times New Roman" w:cs="Times New Roman"/>
                      <w:color w:val="000000"/>
                      <w:sz w:val="24"/>
                      <w:szCs w:val="24"/>
                      <w:lang w:eastAsia="fr-FR" w:bidi="he-IL"/>
                    </w:rPr>
                    <w:t>super-pouvoirs</w:t>
                  </w:r>
                  <w:proofErr w:type="spellEnd"/>
                  <w:r w:rsidRPr="00A20043">
                    <w:rPr>
                      <w:rFonts w:ascii="Times New Roman" w:eastAsia="Times New Roman" w:hAnsi="Times New Roman" w:cs="Times New Roman"/>
                      <w:color w:val="000000"/>
                      <w:sz w:val="24"/>
                      <w:szCs w:val="24"/>
                      <w:lang w:eastAsia="fr-FR" w:bidi="he-IL"/>
                    </w:rPr>
                    <w:t xml:space="preserve">. Les mouvements et expressions de </w:t>
                  </w:r>
                  <w:proofErr w:type="spellStart"/>
                  <w:r w:rsidRPr="00A20043">
                    <w:rPr>
                      <w:rFonts w:ascii="Times New Roman" w:eastAsia="Times New Roman" w:hAnsi="Times New Roman" w:cs="Times New Roman"/>
                      <w:color w:val="000000"/>
                      <w:sz w:val="24"/>
                      <w:szCs w:val="24"/>
                      <w:lang w:eastAsia="fr-FR" w:bidi="he-IL"/>
                    </w:rPr>
                    <w:t>Spacey</w:t>
                  </w:r>
                  <w:proofErr w:type="spellEnd"/>
                  <w:r w:rsidRPr="00A20043">
                    <w:rPr>
                      <w:rFonts w:ascii="Times New Roman" w:eastAsia="Times New Roman" w:hAnsi="Times New Roman" w:cs="Times New Roman"/>
                      <w:color w:val="000000"/>
                      <w:sz w:val="24"/>
                      <w:szCs w:val="24"/>
                      <w:lang w:eastAsia="fr-FR" w:bidi="he-IL"/>
                    </w:rPr>
                    <w:t xml:space="preserve"> ont été saisis grâce à un processus spécial créant une version virtuelle réaliste du comédien qui incarne Jonathan Irons, un méchant mercenaire qui veut diriger </w:t>
                  </w:r>
                  <w:proofErr w:type="spellStart"/>
                  <w:r w:rsidRPr="00A20043">
                    <w:rPr>
                      <w:rFonts w:ascii="Times New Roman" w:eastAsia="Times New Roman" w:hAnsi="Times New Roman" w:cs="Times New Roman"/>
                      <w:color w:val="222222"/>
                      <w:sz w:val="24"/>
                      <w:szCs w:val="24"/>
                      <w:lang w:eastAsia="fr-FR" w:bidi="he-IL"/>
                    </w:rPr>
                    <w:t>lemonde</w:t>
                  </w:r>
                  <w:proofErr w:type="spellEnd"/>
                  <w:r w:rsidRPr="00A20043">
                    <w:rPr>
                      <w:rFonts w:ascii="Times New Roman" w:eastAsia="Times New Roman" w:hAnsi="Times New Roman" w:cs="Times New Roman"/>
                      <w:color w:val="000000"/>
                      <w:sz w:val="24"/>
                      <w:szCs w:val="24"/>
                      <w:lang w:eastAsia="fr-FR" w:bidi="he-IL"/>
                    </w:rPr>
                    <w:t> de 2054. </w:t>
                  </w:r>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color w:val="000000"/>
                      <w:sz w:val="24"/>
                      <w:szCs w:val="24"/>
                      <w:lang w:eastAsia="fr-FR" w:bidi="he-IL"/>
                    </w:rPr>
                    <w:t> nouvel épisode est vendu soixante dollars l'unité, soit près de 48 euros.</w:t>
                  </w:r>
                </w:p>
              </w:tc>
            </w:tr>
          </w:tbl>
          <w:p w:rsidR="00A20043" w:rsidRPr="00A20043" w:rsidRDefault="00A20043" w:rsidP="00A20043">
            <w:pPr>
              <w:spacing w:after="0" w:line="240" w:lineRule="auto"/>
              <w:rPr>
                <w:rFonts w:ascii="Arial" w:eastAsia="Times New Roman" w:hAnsi="Arial" w:cs="Arial"/>
                <w:color w:val="222222"/>
                <w:sz w:val="15"/>
                <w:szCs w:val="15"/>
                <w:lang w:eastAsia="fr-FR" w:bidi="he-IL"/>
              </w:rPr>
            </w:pPr>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lastRenderedPageBreak/>
        <w:t> </w:t>
      </w:r>
    </w:p>
    <w:tbl>
      <w:tblPr>
        <w:tblW w:w="0" w:type="auto"/>
        <w:tblCellSpacing w:w="0" w:type="dxa"/>
        <w:shd w:val="clear" w:color="auto" w:fill="FFFFFF"/>
        <w:tblCellMar>
          <w:left w:w="0" w:type="dxa"/>
          <w:right w:w="0" w:type="dxa"/>
        </w:tblCellMar>
        <w:tblLook w:val="04A0"/>
      </w:tblPr>
      <w:tblGrid>
        <w:gridCol w:w="4710"/>
      </w:tblGrid>
      <w:tr w:rsidR="00A20043" w:rsidRPr="00A20043" w:rsidTr="00A20043">
        <w:trPr>
          <w:tblCellSpacing w:w="0" w:type="dxa"/>
        </w:trPr>
        <w:tc>
          <w:tcPr>
            <w:tcW w:w="0" w:type="auto"/>
            <w:shd w:val="clear" w:color="auto" w:fill="FFFFFF"/>
            <w:tcMar>
              <w:top w:w="105" w:type="dxa"/>
              <w:left w:w="105" w:type="dxa"/>
              <w:bottom w:w="105" w:type="dxa"/>
              <w:right w:w="105" w:type="dxa"/>
            </w:tcMar>
            <w:vAlign w:val="center"/>
            <w:hideMark/>
          </w:tcPr>
          <w:tbl>
            <w:tblPr>
              <w:tblW w:w="4500" w:type="dxa"/>
              <w:tblCellSpacing w:w="0" w:type="dxa"/>
              <w:tblBorders>
                <w:top w:val="single" w:sz="36" w:space="0" w:color="B0B0B0"/>
              </w:tblBorders>
              <w:tblCellMar>
                <w:left w:w="0" w:type="dxa"/>
                <w:right w:w="0" w:type="dxa"/>
              </w:tblCellMar>
              <w:tblLook w:val="04A0"/>
            </w:tblPr>
            <w:tblGrid>
              <w:gridCol w:w="4500"/>
            </w:tblGrid>
            <w:tr w:rsidR="00A20043" w:rsidRPr="00A20043">
              <w:trPr>
                <w:tblCellSpacing w:w="0" w:type="dxa"/>
              </w:trPr>
              <w:tc>
                <w:tcPr>
                  <w:tcW w:w="0" w:type="auto"/>
                  <w:tcBorders>
                    <w:top w:val="nil"/>
                    <w:left w:val="nil"/>
                    <w:bottom w:val="nil"/>
                    <w:right w:val="nil"/>
                  </w:tcBorders>
                  <w:vAlign w:val="center"/>
                  <w:hideMark/>
                </w:tcPr>
                <w:p w:rsidR="00A20043" w:rsidRPr="00A20043" w:rsidRDefault="00A20043" w:rsidP="00A20043">
                  <w:pPr>
                    <w:spacing w:after="0" w:line="240" w:lineRule="auto"/>
                    <w:outlineLvl w:val="3"/>
                    <w:rPr>
                      <w:rFonts w:ascii="Times New Roman" w:eastAsia="Times New Roman" w:hAnsi="Times New Roman" w:cs="Times New Roman"/>
                      <w:b/>
                      <w:bCs/>
                      <w:sz w:val="24"/>
                      <w:szCs w:val="24"/>
                      <w:lang w:eastAsia="fr-FR" w:bidi="he-IL"/>
                    </w:rPr>
                  </w:pPr>
                  <w:hyperlink r:id="rId16" w:tgtFrame="_blank" w:history="1">
                    <w:r w:rsidRPr="00A20043">
                      <w:rPr>
                        <w:rFonts w:ascii="Times New Roman" w:eastAsia="Times New Roman" w:hAnsi="Times New Roman" w:cs="Times New Roman"/>
                        <w:b/>
                        <w:bCs/>
                        <w:color w:val="000000"/>
                        <w:sz w:val="24"/>
                        <w:szCs w:val="24"/>
                        <w:u w:val="single"/>
                        <w:lang w:eastAsia="fr-FR" w:bidi="he-IL"/>
                      </w:rPr>
                      <w:t>CAC 40</w:t>
                    </w:r>
                  </w:hyperlink>
                </w:p>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0"/>
                      <w:szCs w:val="20"/>
                      <w:lang w:eastAsia="fr-FR" w:bidi="he-IL"/>
                    </w:rPr>
                    <w:t>12:</w:t>
                  </w:r>
                  <w:hyperlink r:id="rId17" w:tgtFrame="_blank" w:history="1">
                    <w:r w:rsidRPr="00A20043">
                      <w:rPr>
                        <w:rFonts w:ascii="Times New Roman" w:eastAsia="Times New Roman" w:hAnsi="Times New Roman" w:cs="Times New Roman"/>
                        <w:b/>
                        <w:bCs/>
                        <w:color w:val="1155CC"/>
                        <w:sz w:val="20"/>
                        <w:u w:val="single"/>
                        <w:lang w:eastAsia="fr-FR" w:bidi="he-IL"/>
                      </w:rPr>
                      <w:t>09 21/11/2014</w:t>
                    </w:r>
                  </w:hyperlink>
                  <w:r w:rsidRPr="00A20043">
                    <w:rPr>
                      <w:rFonts w:ascii="Times New Roman" w:eastAsia="Times New Roman" w:hAnsi="Times New Roman" w:cs="Times New Roman"/>
                      <w:b/>
                      <w:bCs/>
                      <w:sz w:val="24"/>
                      <w:szCs w:val="24"/>
                      <w:lang w:eastAsia="fr-FR" w:bidi="he-IL"/>
                    </w:rPr>
                    <w:t>4 302,14 PTS +1,6 %</w:t>
                  </w:r>
                </w:p>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hyperlink r:id="rId18" w:tgtFrame="_blank" w:history="1">
                    <w:r w:rsidRPr="00A20043">
                      <w:rPr>
                        <w:rFonts w:ascii="Times New Roman" w:eastAsia="Times New Roman" w:hAnsi="Times New Roman" w:cs="Times New Roman"/>
                        <w:b/>
                        <w:bCs/>
                        <w:color w:val="000000"/>
                        <w:sz w:val="24"/>
                        <w:szCs w:val="24"/>
                        <w:u w:val="single"/>
                        <w:lang w:eastAsia="fr-FR" w:bidi="he-IL"/>
                      </w:rPr>
                      <w:t>Voir la fiche complète</w:t>
                    </w:r>
                  </w:hyperlink>
                </w:p>
              </w:tc>
            </w:tr>
          </w:tbl>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t> </w:t>
            </w:r>
          </w:p>
          <w:tbl>
            <w:tblPr>
              <w:tblW w:w="4500" w:type="dxa"/>
              <w:tblCellSpacing w:w="0" w:type="dxa"/>
              <w:tblBorders>
                <w:top w:val="single" w:sz="12" w:space="0" w:color="E4E4E4"/>
              </w:tblBorders>
              <w:tblCellMar>
                <w:left w:w="0" w:type="dxa"/>
                <w:right w:w="0" w:type="dxa"/>
              </w:tblCellMar>
              <w:tblLook w:val="04A0"/>
            </w:tblPr>
            <w:tblGrid>
              <w:gridCol w:w="4500"/>
            </w:tblGrid>
            <w:tr w:rsidR="00A20043" w:rsidRPr="00A20043">
              <w:trPr>
                <w:tblCellSpacing w:w="0" w:type="dxa"/>
              </w:trPr>
              <w:tc>
                <w:tcPr>
                  <w:tcW w:w="0" w:type="auto"/>
                  <w:tcBorders>
                    <w:top w:val="nil"/>
                    <w:left w:val="nil"/>
                    <w:bottom w:val="nil"/>
                    <w:right w:val="nil"/>
                  </w:tcBorders>
                  <w:vAlign w:val="center"/>
                  <w:hideMark/>
                </w:tcPr>
                <w:p w:rsidR="00A20043" w:rsidRPr="00A20043" w:rsidRDefault="00A20043" w:rsidP="00A20043">
                  <w:pPr>
                    <w:spacing w:after="0" w:line="240" w:lineRule="auto"/>
                    <w:outlineLvl w:val="4"/>
                    <w:rPr>
                      <w:rFonts w:ascii="Times New Roman" w:eastAsia="Times New Roman" w:hAnsi="Times New Roman" w:cs="Times New Roman"/>
                      <w:b/>
                      <w:bCs/>
                      <w:sz w:val="20"/>
                      <w:szCs w:val="20"/>
                      <w:lang w:eastAsia="fr-FR" w:bidi="he-IL"/>
                    </w:rPr>
                  </w:pPr>
                  <w:hyperlink r:id="rId19" w:tgtFrame="_blank" w:history="1">
                    <w:r w:rsidRPr="00A20043">
                      <w:rPr>
                        <w:rFonts w:ascii="Times New Roman" w:eastAsia="Times New Roman" w:hAnsi="Times New Roman" w:cs="Times New Roman"/>
                        <w:b/>
                        <w:bCs/>
                        <w:color w:val="000000"/>
                        <w:sz w:val="20"/>
                        <w:szCs w:val="20"/>
                        <w:u w:val="single"/>
                        <w:lang w:eastAsia="fr-FR" w:bidi="he-IL"/>
                      </w:rPr>
                      <w:t>PALMARES CAC 40</w:t>
                    </w:r>
                  </w:hyperlink>
                </w:p>
                <w:tbl>
                  <w:tblPr>
                    <w:tblW w:w="4500" w:type="dxa"/>
                    <w:tblCellMar>
                      <w:left w:w="0" w:type="dxa"/>
                      <w:right w:w="0" w:type="dxa"/>
                    </w:tblCellMar>
                    <w:tblLook w:val="04A0"/>
                  </w:tblPr>
                  <w:tblGrid>
                    <w:gridCol w:w="2217"/>
                    <w:gridCol w:w="992"/>
                    <w:gridCol w:w="1291"/>
                  </w:tblGrid>
                  <w:tr w:rsidR="00A20043" w:rsidRPr="00A20043" w:rsidTr="00A20043">
                    <w:tc>
                      <w:tcPr>
                        <w:tcW w:w="6"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Libellé </w:t>
                        </w:r>
                      </w:p>
                    </w:tc>
                    <w:tc>
                      <w:tcPr>
                        <w:tcW w:w="975"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Cours </w:t>
                        </w:r>
                      </w:p>
                    </w:tc>
                    <w:tc>
                      <w:tcPr>
                        <w:tcW w:w="1275" w:type="dxa"/>
                        <w:tcBorders>
                          <w:top w:val="single" w:sz="8" w:space="0" w:color="D9D9D9"/>
                          <w:left w:val="nil"/>
                          <w:bottom w:val="single" w:sz="8" w:space="0" w:color="D9D9D9"/>
                          <w:right w:val="nil"/>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Variation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0" w:tgtFrame="_blank" w:history="1">
                          <w:r w:rsidRPr="00A20043">
                            <w:rPr>
                              <w:rFonts w:ascii="Times New Roman" w:eastAsia="Times New Roman" w:hAnsi="Times New Roman" w:cs="Times New Roman"/>
                              <w:color w:val="1155CC"/>
                              <w:sz w:val="24"/>
                              <w:szCs w:val="24"/>
                              <w:u w:val="single"/>
                              <w:lang w:eastAsia="fr-FR" w:bidi="he-IL"/>
                            </w:rPr>
                            <w:t>ALCATEL-LUCENT</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2,70 €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+3,97 %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1" w:tgtFrame="_blank" w:history="1">
                          <w:r w:rsidRPr="00A20043">
                            <w:rPr>
                              <w:rFonts w:ascii="Times New Roman" w:eastAsia="Times New Roman" w:hAnsi="Times New Roman" w:cs="Times New Roman"/>
                              <w:color w:val="1155CC"/>
                              <w:sz w:val="24"/>
                              <w:szCs w:val="24"/>
                              <w:u w:val="single"/>
                              <w:lang w:eastAsia="fr-FR" w:bidi="he-IL"/>
                            </w:rPr>
                            <w:t>TECHNIP</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58,67 €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+3,66 %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2" w:tgtFrame="_blank" w:history="1">
                          <w:r w:rsidRPr="00A20043">
                            <w:rPr>
                              <w:rFonts w:ascii="Times New Roman" w:eastAsia="Times New Roman" w:hAnsi="Times New Roman" w:cs="Times New Roman"/>
                              <w:color w:val="1155CC"/>
                              <w:sz w:val="24"/>
                              <w:szCs w:val="24"/>
                              <w:u w:val="single"/>
                              <w:lang w:eastAsia="fr-FR" w:bidi="he-IL"/>
                            </w:rPr>
                            <w:t>BOUYGUES</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29,88 €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+3,64 %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3" w:tgtFrame="_blank" w:history="1">
                          <w:r w:rsidRPr="00A20043">
                            <w:rPr>
                              <w:rFonts w:ascii="Times New Roman" w:eastAsia="Times New Roman" w:hAnsi="Times New Roman" w:cs="Times New Roman"/>
                              <w:color w:val="1155CC"/>
                              <w:sz w:val="24"/>
                              <w:szCs w:val="24"/>
                              <w:u w:val="single"/>
                              <w:lang w:eastAsia="fr-FR" w:bidi="he-IL"/>
                            </w:rPr>
                            <w:t>ARCELORMITTAL</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9,83 €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+3,47 %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4" w:tgtFrame="_blank" w:history="1">
                          <w:r w:rsidRPr="00A20043">
                            <w:rPr>
                              <w:rFonts w:ascii="Times New Roman" w:eastAsia="Times New Roman" w:hAnsi="Times New Roman" w:cs="Times New Roman"/>
                              <w:color w:val="1155CC"/>
                              <w:sz w:val="24"/>
                              <w:szCs w:val="24"/>
                              <w:u w:val="single"/>
                              <w:lang w:eastAsia="fr-FR" w:bidi="he-IL"/>
                            </w:rPr>
                            <w:t>ORANGE</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13,48 €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+3,3 %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5" w:tgtFrame="_blank" w:history="1">
                          <w:r w:rsidRPr="00A20043">
                            <w:rPr>
                              <w:rFonts w:ascii="Times New Roman" w:eastAsia="Times New Roman" w:hAnsi="Times New Roman" w:cs="Times New Roman"/>
                              <w:color w:val="1155CC"/>
                              <w:sz w:val="24"/>
                              <w:szCs w:val="24"/>
                              <w:u w:val="single"/>
                              <w:lang w:eastAsia="fr-FR" w:bidi="he-IL"/>
                            </w:rPr>
                            <w:t>GDF SUEZ</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18,58 €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+0,49 %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6" w:tgtFrame="_blank" w:history="1">
                          <w:r w:rsidRPr="00A20043">
                            <w:rPr>
                              <w:rFonts w:ascii="Times New Roman" w:eastAsia="Times New Roman" w:hAnsi="Times New Roman" w:cs="Times New Roman"/>
                              <w:color w:val="1155CC"/>
                              <w:sz w:val="24"/>
                              <w:szCs w:val="24"/>
                              <w:u w:val="single"/>
                              <w:lang w:eastAsia="fr-FR" w:bidi="he-IL"/>
                            </w:rPr>
                            <w:t>VINCI</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43,74 €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+0,08 %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7" w:tgtFrame="_blank" w:history="1">
                          <w:r w:rsidRPr="00A20043">
                            <w:rPr>
                              <w:rFonts w:ascii="Times New Roman" w:eastAsia="Times New Roman" w:hAnsi="Times New Roman" w:cs="Times New Roman"/>
                              <w:color w:val="1155CC"/>
                              <w:sz w:val="24"/>
                              <w:szCs w:val="24"/>
                              <w:u w:val="single"/>
                              <w:lang w:eastAsia="fr-FR" w:bidi="he-IL"/>
                            </w:rPr>
                            <w:t>GEMALTO</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66,19 €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+0,08 %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8" w:tgtFrame="_blank" w:history="1">
                          <w:r w:rsidRPr="00A20043">
                            <w:rPr>
                              <w:rFonts w:ascii="Times New Roman" w:eastAsia="Times New Roman" w:hAnsi="Times New Roman" w:cs="Times New Roman"/>
                              <w:color w:val="1155CC"/>
                              <w:sz w:val="24"/>
                              <w:szCs w:val="24"/>
                              <w:u w:val="single"/>
                              <w:lang w:eastAsia="fr-FR" w:bidi="he-IL"/>
                            </w:rPr>
                            <w:t>SOLVAY</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109,45 €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-0,18 % </w:t>
                        </w:r>
                      </w:p>
                    </w:tc>
                  </w:tr>
                  <w:tr w:rsidR="00A20043" w:rsidRPr="00A20043" w:rsidTr="00A20043">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29" w:tgtFrame="_blank" w:history="1">
                          <w:r w:rsidRPr="00A20043">
                            <w:rPr>
                              <w:rFonts w:ascii="Times New Roman" w:eastAsia="Times New Roman" w:hAnsi="Times New Roman" w:cs="Times New Roman"/>
                              <w:color w:val="1155CC"/>
                              <w:sz w:val="24"/>
                              <w:szCs w:val="24"/>
                              <w:u w:val="single"/>
                              <w:lang w:eastAsia="fr-FR" w:bidi="he-IL"/>
                            </w:rPr>
                            <w:t>SANOFI</w:t>
                          </w:r>
                        </w:hyperlink>
                      </w:p>
                    </w:tc>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74,52 € </w:t>
                        </w:r>
                      </w:p>
                    </w:tc>
                    <w:tc>
                      <w:tcPr>
                        <w:tcW w:w="0" w:type="auto"/>
                        <w:tcBorders>
                          <w:top w:val="nil"/>
                          <w:left w:val="nil"/>
                          <w:bottom w:val="single" w:sz="8" w:space="0" w:color="D9D9D9"/>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-0,67 % </w:t>
                        </w:r>
                      </w:p>
                    </w:tc>
                  </w:tr>
                </w:tbl>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hyperlink r:id="rId30" w:tgtFrame="_blank" w:history="1">
                    <w:r w:rsidRPr="00A20043">
                      <w:rPr>
                        <w:rFonts w:ascii="Times New Roman" w:eastAsia="Times New Roman" w:hAnsi="Times New Roman" w:cs="Times New Roman"/>
                        <w:b/>
                        <w:bCs/>
                        <w:color w:val="000000"/>
                        <w:sz w:val="24"/>
                        <w:szCs w:val="24"/>
                        <w:u w:val="single"/>
                        <w:lang w:eastAsia="fr-FR" w:bidi="he-IL"/>
                      </w:rPr>
                      <w:t>Voir tout </w:t>
                    </w:r>
                    <w:r w:rsidRPr="00A20043">
                      <w:rPr>
                        <w:rFonts w:ascii="Times New Roman" w:eastAsia="Times New Roman" w:hAnsi="Times New Roman" w:cs="Times New Roman"/>
                        <w:b/>
                        <w:bCs/>
                        <w:color w:val="222222"/>
                        <w:sz w:val="24"/>
                        <w:szCs w:val="24"/>
                        <w:u w:val="single"/>
                        <w:lang w:eastAsia="fr-FR" w:bidi="he-IL"/>
                      </w:rPr>
                      <w:t>le</w:t>
                    </w:r>
                    <w:r w:rsidRPr="00A20043">
                      <w:rPr>
                        <w:rFonts w:ascii="Times New Roman" w:eastAsia="Times New Roman" w:hAnsi="Times New Roman" w:cs="Times New Roman"/>
                        <w:b/>
                        <w:bCs/>
                        <w:color w:val="000000"/>
                        <w:sz w:val="24"/>
                        <w:szCs w:val="24"/>
                        <w:u w:val="single"/>
                        <w:lang w:eastAsia="fr-FR" w:bidi="he-IL"/>
                      </w:rPr>
                      <w:t> palmarès</w:t>
                    </w:r>
                  </w:hyperlink>
                </w:p>
              </w:tc>
            </w:tr>
          </w:tbl>
          <w:p w:rsidR="00A20043" w:rsidRPr="00A20043" w:rsidRDefault="00A20043" w:rsidP="00A20043">
            <w:pPr>
              <w:spacing w:after="0" w:line="240" w:lineRule="auto"/>
              <w:rPr>
                <w:rFonts w:ascii="Arial" w:eastAsia="Times New Roman" w:hAnsi="Arial" w:cs="Arial"/>
                <w:color w:val="222222"/>
                <w:sz w:val="15"/>
                <w:szCs w:val="15"/>
                <w:lang w:eastAsia="fr-FR" w:bidi="he-IL"/>
              </w:rPr>
            </w:pPr>
          </w:p>
        </w:tc>
      </w:tr>
      <w:tr w:rsidR="00A20043" w:rsidRPr="00A20043" w:rsidTr="00A20043">
        <w:trPr>
          <w:tblCellSpacing w:w="0" w:type="dxa"/>
        </w:trPr>
        <w:tc>
          <w:tcPr>
            <w:tcW w:w="0" w:type="auto"/>
            <w:shd w:val="clear" w:color="auto" w:fill="FFFFFF"/>
            <w:tcMar>
              <w:top w:w="105" w:type="dxa"/>
              <w:left w:w="105" w:type="dxa"/>
              <w:bottom w:w="105" w:type="dxa"/>
              <w:right w:w="105" w:type="dxa"/>
            </w:tcMar>
            <w:vAlign w:val="center"/>
            <w:hideMark/>
          </w:tcPr>
          <w:p w:rsidR="00A20043" w:rsidRPr="00A20043" w:rsidRDefault="00A20043" w:rsidP="00A20043">
            <w:pPr>
              <w:spacing w:after="0" w:line="240" w:lineRule="auto"/>
              <w:jc w:val="center"/>
              <w:rPr>
                <w:rFonts w:ascii="Times New Roman" w:eastAsia="Times New Roman" w:hAnsi="Times New Roman" w:cs="Times New Roman"/>
                <w:color w:val="222222"/>
                <w:sz w:val="24"/>
                <w:szCs w:val="24"/>
                <w:lang w:eastAsia="fr-FR" w:bidi="he-IL"/>
              </w:rPr>
            </w:pPr>
            <w:hyperlink r:id="rId31" w:tgtFrame="_blank" w:history="1">
              <w:r w:rsidRPr="00A20043">
                <w:rPr>
                  <w:rFonts w:ascii="Times New Roman" w:eastAsia="Times New Roman" w:hAnsi="Times New Roman" w:cs="Times New Roman"/>
                  <w:color w:val="1155CC"/>
                  <w:sz w:val="24"/>
                  <w:szCs w:val="24"/>
                  <w:lang w:eastAsia="fr-FR" w:bidi="he-IL"/>
                </w:rPr>
                <w:pict>
                  <v:shape id="_x0000_i1027" type="#_x0000_t75" alt="Cliquez ici !" style="width:24pt;height:24pt"/>
                </w:pict>
              </w:r>
            </w:hyperlink>
            <w:r w:rsidRPr="00A20043">
              <w:rPr>
                <w:rFonts w:ascii="Times New Roman" w:eastAsia="Times New Roman" w:hAnsi="Times New Roman" w:cs="Times New Roman"/>
                <w:color w:val="000000"/>
                <w:sz w:val="24"/>
                <w:szCs w:val="24"/>
                <w:lang w:eastAsia="fr-FR" w:bidi="he-IL"/>
              </w:rPr>
              <w:br/>
            </w:r>
            <w:hyperlink r:id="rId32" w:tgtFrame="_blank" w:history="1">
              <w:r w:rsidRPr="00A20043">
                <w:rPr>
                  <w:rFonts w:ascii="Times New Roman" w:eastAsia="Times New Roman" w:hAnsi="Times New Roman" w:cs="Times New Roman"/>
                  <w:color w:val="1155CC"/>
                  <w:sz w:val="24"/>
                  <w:szCs w:val="24"/>
                  <w:lang w:eastAsia="fr-FR" w:bidi="he-IL"/>
                </w:rPr>
                <w:pict>
                  <v:shape id="_x0000_i1028" type="#_x0000_t75" alt="Cliquez ici !" style="width:24pt;height:24pt"/>
                </w:pict>
              </w:r>
            </w:hyperlink>
          </w:p>
        </w:tc>
      </w:tr>
      <w:tr w:rsidR="00A20043" w:rsidRPr="00A20043" w:rsidTr="00A20043">
        <w:trPr>
          <w:tblCellSpacing w:w="0" w:type="dxa"/>
        </w:trPr>
        <w:tc>
          <w:tcPr>
            <w:tcW w:w="0" w:type="auto"/>
            <w:shd w:val="clear" w:color="auto" w:fill="FFFFFF"/>
            <w:tcMar>
              <w:top w:w="105" w:type="dxa"/>
              <w:left w:w="105" w:type="dxa"/>
              <w:bottom w:w="105" w:type="dxa"/>
              <w:right w:w="105" w:type="dxa"/>
            </w:tcMar>
            <w:vAlign w:val="center"/>
            <w:hideMark/>
          </w:tcPr>
          <w:tbl>
            <w:tblPr>
              <w:tblW w:w="4500" w:type="dxa"/>
              <w:tblCellSpacing w:w="0" w:type="dxa"/>
              <w:tblCellMar>
                <w:left w:w="0" w:type="dxa"/>
                <w:right w:w="0" w:type="dxa"/>
              </w:tblCellMar>
              <w:tblLook w:val="04A0"/>
            </w:tblPr>
            <w:tblGrid>
              <w:gridCol w:w="4500"/>
            </w:tblGrid>
            <w:tr w:rsidR="00A20043" w:rsidRPr="00A20043">
              <w:trPr>
                <w:tblCellSpacing w:w="0" w:type="dxa"/>
              </w:trPr>
              <w:tc>
                <w:tcPr>
                  <w:tcW w:w="0" w:type="auto"/>
                  <w:vAlign w:val="center"/>
                  <w:hideMark/>
                </w:tcPr>
                <w:p w:rsidR="00A20043" w:rsidRPr="00A20043" w:rsidRDefault="00A20043" w:rsidP="00A20043">
                  <w:pPr>
                    <w:spacing w:after="0" w:line="240" w:lineRule="auto"/>
                    <w:outlineLvl w:val="4"/>
                    <w:rPr>
                      <w:rFonts w:ascii="Times New Roman" w:eastAsia="Times New Roman" w:hAnsi="Times New Roman" w:cs="Times New Roman"/>
                      <w:b/>
                      <w:bCs/>
                      <w:sz w:val="20"/>
                      <w:szCs w:val="20"/>
                      <w:lang w:eastAsia="fr-FR" w:bidi="he-IL"/>
                    </w:rPr>
                  </w:pPr>
                  <w:r w:rsidRPr="00A20043">
                    <w:rPr>
                      <w:rFonts w:ascii="Times New Roman" w:eastAsia="Times New Roman" w:hAnsi="Times New Roman" w:cs="Times New Roman"/>
                      <w:b/>
                      <w:bCs/>
                      <w:sz w:val="20"/>
                      <w:szCs w:val="20"/>
                      <w:lang w:eastAsia="fr-FR" w:bidi="he-IL"/>
                    </w:rPr>
                    <w:t>VALEUR DU JOUR</w:t>
                  </w:r>
                </w:p>
                <w:p w:rsidR="00A20043" w:rsidRPr="00A20043" w:rsidRDefault="00A20043" w:rsidP="00A20043">
                  <w:pPr>
                    <w:spacing w:after="0" w:line="240" w:lineRule="auto"/>
                    <w:outlineLvl w:val="3"/>
                    <w:rPr>
                      <w:rFonts w:ascii="Times New Roman" w:eastAsia="Times New Roman" w:hAnsi="Times New Roman" w:cs="Times New Roman"/>
                      <w:b/>
                      <w:bCs/>
                      <w:sz w:val="24"/>
                      <w:szCs w:val="24"/>
                      <w:lang w:eastAsia="fr-FR" w:bidi="he-IL"/>
                    </w:rPr>
                  </w:pPr>
                  <w:hyperlink r:id="rId33" w:tgtFrame="_blank" w:history="1">
                    <w:r w:rsidRPr="00A20043">
                      <w:rPr>
                        <w:rFonts w:ascii="Times New Roman" w:eastAsia="Times New Roman" w:hAnsi="Times New Roman" w:cs="Times New Roman"/>
                        <w:b/>
                        <w:bCs/>
                        <w:color w:val="000000"/>
                        <w:sz w:val="24"/>
                        <w:szCs w:val="24"/>
                        <w:u w:val="single"/>
                        <w:lang w:eastAsia="fr-FR" w:bidi="he-IL"/>
                      </w:rPr>
                      <w:t>SANOFI</w:t>
                    </w:r>
                  </w:hyperlink>
                </w:p>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0"/>
                      <w:szCs w:val="20"/>
                      <w:lang w:eastAsia="fr-FR" w:bidi="he-IL"/>
                    </w:rPr>
                    <w:t>12:</w:t>
                  </w:r>
                  <w:hyperlink r:id="rId34" w:tgtFrame="_blank" w:history="1">
                    <w:r w:rsidRPr="00A20043">
                      <w:rPr>
                        <w:rFonts w:ascii="Times New Roman" w:eastAsia="Times New Roman" w:hAnsi="Times New Roman" w:cs="Times New Roman"/>
                        <w:b/>
                        <w:bCs/>
                        <w:color w:val="1155CC"/>
                        <w:sz w:val="20"/>
                        <w:u w:val="single"/>
                        <w:lang w:eastAsia="fr-FR" w:bidi="he-IL"/>
                      </w:rPr>
                      <w:t>09 21/11/2014</w:t>
                    </w:r>
                  </w:hyperlink>
                  <w:r w:rsidRPr="00A20043">
                    <w:rPr>
                      <w:rFonts w:ascii="Times New Roman" w:eastAsia="Times New Roman" w:hAnsi="Times New Roman" w:cs="Times New Roman"/>
                      <w:b/>
                      <w:bCs/>
                      <w:sz w:val="24"/>
                      <w:szCs w:val="24"/>
                      <w:lang w:eastAsia="fr-FR" w:bidi="he-IL"/>
                    </w:rPr>
                    <w:t>74,52 € -0,67 %</w:t>
                  </w:r>
                </w:p>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hyperlink r:id="rId35" w:tgtFrame="_blank" w:history="1">
                    <w:r w:rsidRPr="00A20043">
                      <w:rPr>
                        <w:rFonts w:ascii="Times New Roman" w:eastAsia="Times New Roman" w:hAnsi="Times New Roman" w:cs="Times New Roman"/>
                        <w:b/>
                        <w:bCs/>
                        <w:color w:val="000000"/>
                        <w:sz w:val="24"/>
                        <w:szCs w:val="24"/>
                        <w:u w:val="single"/>
                        <w:lang w:eastAsia="fr-FR" w:bidi="he-IL"/>
                      </w:rPr>
                      <w:t>Voir la fiche complète</w:t>
                    </w:r>
                  </w:hyperlink>
                </w:p>
              </w:tc>
            </w:tr>
          </w:tbl>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t> </w:t>
            </w:r>
          </w:p>
          <w:tbl>
            <w:tblPr>
              <w:tblW w:w="4500" w:type="dxa"/>
              <w:tblCellSpacing w:w="0" w:type="dxa"/>
              <w:tblBorders>
                <w:top w:val="single" w:sz="12" w:space="0" w:color="E4E4E4"/>
              </w:tblBorders>
              <w:tblCellMar>
                <w:left w:w="0" w:type="dxa"/>
                <w:right w:w="0" w:type="dxa"/>
              </w:tblCellMar>
              <w:tblLook w:val="04A0"/>
            </w:tblPr>
            <w:tblGrid>
              <w:gridCol w:w="4500"/>
            </w:tblGrid>
            <w:tr w:rsidR="00A20043" w:rsidRPr="00A20043">
              <w:trPr>
                <w:tblCellSpacing w:w="0" w:type="dxa"/>
              </w:trPr>
              <w:tc>
                <w:tcPr>
                  <w:tcW w:w="0" w:type="auto"/>
                  <w:tcBorders>
                    <w:top w:val="nil"/>
                    <w:left w:val="nil"/>
                    <w:bottom w:val="nil"/>
                    <w:right w:val="nil"/>
                  </w:tcBorders>
                  <w:vAlign w:val="center"/>
                  <w:hideMark/>
                </w:tcPr>
                <w:p w:rsidR="00A20043" w:rsidRPr="00A20043" w:rsidRDefault="00A20043" w:rsidP="00A20043">
                  <w:pPr>
                    <w:spacing w:after="0" w:line="240" w:lineRule="auto"/>
                    <w:outlineLvl w:val="4"/>
                    <w:rPr>
                      <w:rFonts w:ascii="Times New Roman" w:eastAsia="Times New Roman" w:hAnsi="Times New Roman" w:cs="Times New Roman"/>
                      <w:b/>
                      <w:bCs/>
                      <w:sz w:val="20"/>
                      <w:szCs w:val="20"/>
                      <w:lang w:eastAsia="fr-FR" w:bidi="he-IL"/>
                    </w:rPr>
                  </w:pPr>
                  <w:r w:rsidRPr="00A20043">
                    <w:rPr>
                      <w:rFonts w:ascii="Times New Roman" w:eastAsia="Times New Roman" w:hAnsi="Times New Roman" w:cs="Times New Roman"/>
                      <w:b/>
                      <w:bCs/>
                      <w:sz w:val="20"/>
                      <w:szCs w:val="20"/>
                      <w:lang w:eastAsia="fr-FR" w:bidi="he-IL"/>
                    </w:rPr>
                    <w:t>DEVISES ET MATIÈRES PREMIÈRES</w:t>
                  </w:r>
                </w:p>
                <w:tbl>
                  <w:tblPr>
                    <w:tblW w:w="4500" w:type="dxa"/>
                    <w:tblCellMar>
                      <w:left w:w="0" w:type="dxa"/>
                      <w:right w:w="0" w:type="dxa"/>
                    </w:tblCellMar>
                    <w:tblLook w:val="04A0"/>
                  </w:tblPr>
                  <w:tblGrid>
                    <w:gridCol w:w="1419"/>
                    <w:gridCol w:w="780"/>
                    <w:gridCol w:w="1079"/>
                    <w:gridCol w:w="1222"/>
                  </w:tblGrid>
                  <w:tr w:rsidR="00A20043" w:rsidRPr="00A20043" w:rsidTr="00A20043">
                    <w:tc>
                      <w:tcPr>
                        <w:tcW w:w="6"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Libellé </w:t>
                        </w:r>
                      </w:p>
                    </w:tc>
                    <w:tc>
                      <w:tcPr>
                        <w:tcW w:w="750"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Heure </w:t>
                        </w:r>
                      </w:p>
                    </w:tc>
                    <w:tc>
                      <w:tcPr>
                        <w:tcW w:w="975"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Cours </w:t>
                        </w:r>
                      </w:p>
                    </w:tc>
                    <w:tc>
                      <w:tcPr>
                        <w:tcW w:w="1275" w:type="dxa"/>
                        <w:tcBorders>
                          <w:top w:val="single" w:sz="8" w:space="0" w:color="D9D9D9"/>
                          <w:left w:val="nil"/>
                          <w:bottom w:val="single" w:sz="8" w:space="0" w:color="D9D9D9"/>
                          <w:right w:val="nil"/>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Variation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36" w:tgtFrame="_blank" w:history="1">
                          <w:r w:rsidRPr="00A20043">
                            <w:rPr>
                              <w:rFonts w:ascii="Times New Roman" w:eastAsia="Times New Roman" w:hAnsi="Times New Roman" w:cs="Times New Roman"/>
                              <w:color w:val="1155CC"/>
                              <w:sz w:val="24"/>
                              <w:szCs w:val="24"/>
                              <w:u w:val="single"/>
                              <w:lang w:eastAsia="fr-FR" w:bidi="he-IL"/>
                            </w:rPr>
                            <w:t xml:space="preserve">Euro - Dollar </w:t>
                          </w:r>
                          <w:r w:rsidRPr="00A20043">
                            <w:rPr>
                              <w:rFonts w:ascii="Times New Roman" w:eastAsia="Times New Roman" w:hAnsi="Times New Roman" w:cs="Times New Roman"/>
                              <w:color w:val="1155CC"/>
                              <w:sz w:val="24"/>
                              <w:szCs w:val="24"/>
                              <w:u w:val="single"/>
                              <w:lang w:eastAsia="fr-FR" w:bidi="he-IL"/>
                            </w:rPr>
                            <w:lastRenderedPageBreak/>
                            <w:t>US</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lastRenderedPageBreak/>
                          <w:t> 12h08 </w:t>
                        </w:r>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1,24 $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-0,84 %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lastRenderedPageBreak/>
                          <w:t> </w:t>
                        </w:r>
                        <w:hyperlink r:id="rId37" w:tgtFrame="_blank" w:history="1">
                          <w:r w:rsidRPr="00A20043">
                            <w:rPr>
                              <w:rFonts w:ascii="Times New Roman" w:eastAsia="Times New Roman" w:hAnsi="Times New Roman" w:cs="Times New Roman"/>
                              <w:color w:val="1155CC"/>
                              <w:sz w:val="24"/>
                              <w:szCs w:val="24"/>
                              <w:u w:val="single"/>
                              <w:lang w:eastAsia="fr-FR" w:bidi="he-IL"/>
                            </w:rPr>
                            <w:t>Pétrole Brent</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12h08 </w:t>
                        </w:r>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80,25 $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+1,16 % </w:t>
                        </w:r>
                      </w:p>
                    </w:tc>
                  </w:tr>
                  <w:tr w:rsidR="00A20043" w:rsidRPr="00A20043" w:rsidTr="00A20043">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38" w:tgtFrame="_blank" w:history="1">
                          <w:r w:rsidRPr="00A20043">
                            <w:rPr>
                              <w:rFonts w:ascii="Times New Roman" w:eastAsia="Times New Roman" w:hAnsi="Times New Roman" w:cs="Times New Roman"/>
                              <w:color w:val="1155CC"/>
                              <w:sz w:val="24"/>
                              <w:szCs w:val="24"/>
                              <w:u w:val="single"/>
                              <w:lang w:eastAsia="fr-FR" w:bidi="he-IL"/>
                            </w:rPr>
                            <w:t>Or</w:t>
                          </w:r>
                        </w:hyperlink>
                      </w:p>
                    </w:tc>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12h08 </w:t>
                        </w:r>
                      </w:p>
                    </w:tc>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1 195,85 $ </w:t>
                        </w:r>
                      </w:p>
                    </w:tc>
                    <w:tc>
                      <w:tcPr>
                        <w:tcW w:w="0" w:type="auto"/>
                        <w:tcBorders>
                          <w:top w:val="nil"/>
                          <w:left w:val="nil"/>
                          <w:bottom w:val="single" w:sz="8" w:space="0" w:color="D9D9D9"/>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+0,22 % </w:t>
                        </w:r>
                      </w:p>
                    </w:tc>
                  </w:tr>
                </w:tbl>
                <w:p w:rsidR="00A20043" w:rsidRPr="00A20043" w:rsidRDefault="00A20043" w:rsidP="00A20043">
                  <w:pPr>
                    <w:spacing w:after="0" w:line="240" w:lineRule="auto"/>
                    <w:rPr>
                      <w:rFonts w:ascii="Arial" w:eastAsia="Times New Roman" w:hAnsi="Arial" w:cs="Arial"/>
                      <w:sz w:val="24"/>
                      <w:szCs w:val="24"/>
                      <w:lang w:eastAsia="fr-FR" w:bidi="he-IL"/>
                    </w:rPr>
                  </w:pPr>
                </w:p>
              </w:tc>
            </w:tr>
          </w:tbl>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lastRenderedPageBreak/>
              <w:t> </w:t>
            </w:r>
          </w:p>
          <w:tbl>
            <w:tblPr>
              <w:tblW w:w="4500" w:type="dxa"/>
              <w:tblCellSpacing w:w="0" w:type="dxa"/>
              <w:tblBorders>
                <w:top w:val="single" w:sz="12" w:space="0" w:color="E4E4E4"/>
              </w:tblBorders>
              <w:tblCellMar>
                <w:left w:w="0" w:type="dxa"/>
                <w:right w:w="0" w:type="dxa"/>
              </w:tblCellMar>
              <w:tblLook w:val="04A0"/>
            </w:tblPr>
            <w:tblGrid>
              <w:gridCol w:w="4500"/>
            </w:tblGrid>
            <w:tr w:rsidR="00A20043" w:rsidRPr="00A20043">
              <w:trPr>
                <w:tblCellSpacing w:w="0" w:type="dxa"/>
              </w:trPr>
              <w:tc>
                <w:tcPr>
                  <w:tcW w:w="0" w:type="auto"/>
                  <w:tcBorders>
                    <w:top w:val="nil"/>
                    <w:left w:val="nil"/>
                    <w:bottom w:val="nil"/>
                    <w:right w:val="nil"/>
                  </w:tcBorders>
                  <w:vAlign w:val="center"/>
                  <w:hideMark/>
                </w:tcPr>
                <w:p w:rsidR="00A20043" w:rsidRPr="00A20043" w:rsidRDefault="00A20043" w:rsidP="00A20043">
                  <w:pPr>
                    <w:spacing w:after="0" w:line="240" w:lineRule="auto"/>
                    <w:outlineLvl w:val="4"/>
                    <w:rPr>
                      <w:rFonts w:ascii="Times New Roman" w:eastAsia="Times New Roman" w:hAnsi="Times New Roman" w:cs="Times New Roman"/>
                      <w:b/>
                      <w:bCs/>
                      <w:sz w:val="20"/>
                      <w:szCs w:val="20"/>
                      <w:lang w:eastAsia="fr-FR" w:bidi="he-IL"/>
                    </w:rPr>
                  </w:pPr>
                  <w:r w:rsidRPr="00A20043">
                    <w:rPr>
                      <w:rFonts w:ascii="Times New Roman" w:eastAsia="Times New Roman" w:hAnsi="Times New Roman" w:cs="Times New Roman"/>
                      <w:b/>
                      <w:bCs/>
                      <w:sz w:val="20"/>
                      <w:szCs w:val="20"/>
                      <w:lang w:eastAsia="fr-FR" w:bidi="he-IL"/>
                    </w:rPr>
                    <w:t>INDICES</w:t>
                  </w:r>
                </w:p>
                <w:tbl>
                  <w:tblPr>
                    <w:tblW w:w="4500" w:type="dxa"/>
                    <w:tblCellMar>
                      <w:left w:w="0" w:type="dxa"/>
                      <w:right w:w="0" w:type="dxa"/>
                    </w:tblCellMar>
                    <w:tblLook w:val="04A0"/>
                  </w:tblPr>
                  <w:tblGrid>
                    <w:gridCol w:w="1053"/>
                    <w:gridCol w:w="780"/>
                    <w:gridCol w:w="1434"/>
                    <w:gridCol w:w="1233"/>
                  </w:tblGrid>
                  <w:tr w:rsidR="00A20043" w:rsidRPr="00A20043" w:rsidTr="00A20043">
                    <w:tc>
                      <w:tcPr>
                        <w:tcW w:w="6"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Libellé </w:t>
                        </w:r>
                      </w:p>
                    </w:tc>
                    <w:tc>
                      <w:tcPr>
                        <w:tcW w:w="750"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Heure </w:t>
                        </w:r>
                      </w:p>
                    </w:tc>
                    <w:tc>
                      <w:tcPr>
                        <w:tcW w:w="975" w:type="dxa"/>
                        <w:tcBorders>
                          <w:top w:val="single" w:sz="8" w:space="0" w:color="D9D9D9"/>
                          <w:left w:val="nil"/>
                          <w:bottom w:val="single" w:sz="8" w:space="0" w:color="D9D9D9"/>
                          <w:right w:val="single" w:sz="8" w:space="0" w:color="D9D9D9"/>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Cours </w:t>
                        </w:r>
                      </w:p>
                    </w:tc>
                    <w:tc>
                      <w:tcPr>
                        <w:tcW w:w="1275" w:type="dxa"/>
                        <w:tcBorders>
                          <w:top w:val="single" w:sz="8" w:space="0" w:color="D9D9D9"/>
                          <w:left w:val="nil"/>
                          <w:bottom w:val="single" w:sz="8" w:space="0" w:color="D9D9D9"/>
                          <w:right w:val="nil"/>
                        </w:tcBorders>
                        <w:vAlign w:val="center"/>
                        <w:hideMark/>
                      </w:tcPr>
                      <w:p w:rsidR="00A20043" w:rsidRPr="00A20043" w:rsidRDefault="00A20043" w:rsidP="00A20043">
                        <w:pPr>
                          <w:spacing w:after="0" w:line="240" w:lineRule="auto"/>
                          <w:jc w:val="center"/>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 Variation </w:t>
                        </w:r>
                      </w:p>
                    </w:tc>
                  </w:tr>
                  <w:tr w:rsidR="00A20043" w:rsidRPr="00A20043" w:rsidTr="00A20043">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39" w:tgtFrame="_blank" w:history="1">
                          <w:r w:rsidRPr="00A20043">
                            <w:rPr>
                              <w:rFonts w:ascii="Times New Roman" w:eastAsia="Times New Roman" w:hAnsi="Times New Roman" w:cs="Times New Roman"/>
                              <w:color w:val="1155CC"/>
                              <w:sz w:val="24"/>
                              <w:szCs w:val="24"/>
                              <w:u w:val="single"/>
                              <w:lang w:eastAsia="fr-FR" w:bidi="he-IL"/>
                            </w:rPr>
                            <w:t>CAC 40</w:t>
                          </w:r>
                        </w:hyperlink>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12h09 </w:t>
                        </w:r>
                      </w:p>
                    </w:tc>
                    <w:tc>
                      <w:tcPr>
                        <w:tcW w:w="0" w:type="auto"/>
                        <w:tcBorders>
                          <w:top w:val="nil"/>
                          <w:left w:val="nil"/>
                          <w:bottom w:val="nil"/>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4 302,14 PTS </w:t>
                        </w:r>
                      </w:p>
                    </w:tc>
                    <w:tc>
                      <w:tcPr>
                        <w:tcW w:w="0" w:type="auto"/>
                        <w:tcBorders>
                          <w:top w:val="nil"/>
                          <w:left w:val="nil"/>
                          <w:bottom w:val="nil"/>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+1,6 % </w:t>
                        </w:r>
                      </w:p>
                    </w:tc>
                  </w:tr>
                  <w:tr w:rsidR="00A20043" w:rsidRPr="00A20043" w:rsidTr="00A20043">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w:t>
                        </w:r>
                        <w:hyperlink r:id="rId40" w:tgtFrame="_blank" w:history="1">
                          <w:r w:rsidRPr="00A20043">
                            <w:rPr>
                              <w:rFonts w:ascii="Times New Roman" w:eastAsia="Times New Roman" w:hAnsi="Times New Roman" w:cs="Times New Roman"/>
                              <w:color w:val="1155CC"/>
                              <w:sz w:val="24"/>
                              <w:szCs w:val="24"/>
                              <w:u w:val="single"/>
                              <w:lang w:eastAsia="fr-FR" w:bidi="he-IL"/>
                            </w:rPr>
                            <w:t>Dow Jones</w:t>
                          </w:r>
                        </w:hyperlink>
                      </w:p>
                    </w:tc>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22h47 </w:t>
                        </w:r>
                      </w:p>
                    </w:tc>
                    <w:tc>
                      <w:tcPr>
                        <w:tcW w:w="0" w:type="auto"/>
                        <w:tcBorders>
                          <w:top w:val="nil"/>
                          <w:left w:val="nil"/>
                          <w:bottom w:val="single" w:sz="8" w:space="0" w:color="D9D9D9"/>
                          <w:right w:val="single" w:sz="8" w:space="0" w:color="D9D9D9"/>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17 719,00 PTS </w:t>
                        </w:r>
                      </w:p>
                    </w:tc>
                    <w:tc>
                      <w:tcPr>
                        <w:tcW w:w="0" w:type="auto"/>
                        <w:tcBorders>
                          <w:top w:val="nil"/>
                          <w:left w:val="nil"/>
                          <w:bottom w:val="single" w:sz="8" w:space="0" w:color="D9D9D9"/>
                          <w:right w:val="nil"/>
                        </w:tcBorders>
                        <w:vAlign w:val="center"/>
                        <w:hideMark/>
                      </w:tcPr>
                      <w:p w:rsidR="00A20043" w:rsidRPr="00A20043" w:rsidRDefault="00A20043" w:rsidP="00A20043">
                        <w:pPr>
                          <w:spacing w:after="0" w:line="240" w:lineRule="auto"/>
                          <w:jc w:val="right"/>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sz w:val="24"/>
                            <w:szCs w:val="24"/>
                            <w:lang w:eastAsia="fr-FR" w:bidi="he-IL"/>
                          </w:rPr>
                          <w:t> +0,19 % </w:t>
                        </w:r>
                      </w:p>
                    </w:tc>
                  </w:tr>
                </w:tbl>
                <w:p w:rsidR="00A20043" w:rsidRPr="00A20043" w:rsidRDefault="00A20043" w:rsidP="00A20043">
                  <w:pPr>
                    <w:spacing w:after="0" w:line="240" w:lineRule="auto"/>
                    <w:rPr>
                      <w:rFonts w:ascii="Arial" w:eastAsia="Times New Roman" w:hAnsi="Arial" w:cs="Arial"/>
                      <w:sz w:val="24"/>
                      <w:szCs w:val="24"/>
                      <w:lang w:eastAsia="fr-FR" w:bidi="he-IL"/>
                    </w:rPr>
                  </w:pPr>
                </w:p>
              </w:tc>
            </w:tr>
          </w:tbl>
          <w:p w:rsidR="00A20043" w:rsidRPr="00A20043" w:rsidRDefault="00A20043" w:rsidP="00A20043">
            <w:pPr>
              <w:spacing w:after="0" w:line="240" w:lineRule="auto"/>
              <w:rPr>
                <w:rFonts w:ascii="Arial" w:eastAsia="Times New Roman" w:hAnsi="Arial" w:cs="Arial"/>
                <w:color w:val="222222"/>
                <w:sz w:val="15"/>
                <w:szCs w:val="15"/>
                <w:lang w:eastAsia="fr-FR" w:bidi="he-IL"/>
              </w:rPr>
            </w:pPr>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lastRenderedPageBreak/>
        <w:t> </w:t>
      </w:r>
    </w:p>
    <w:tbl>
      <w:tblPr>
        <w:tblW w:w="4710" w:type="dxa"/>
        <w:tblCellSpacing w:w="75" w:type="dxa"/>
        <w:shd w:val="clear" w:color="auto" w:fill="FFFFFF"/>
        <w:tblCellMar>
          <w:left w:w="0" w:type="dxa"/>
          <w:right w:w="0" w:type="dxa"/>
        </w:tblCellMar>
        <w:tblLook w:val="04A0"/>
      </w:tblPr>
      <w:tblGrid>
        <w:gridCol w:w="4710"/>
      </w:tblGrid>
      <w:tr w:rsidR="00A20043" w:rsidRPr="00A20043" w:rsidTr="00A20043">
        <w:trPr>
          <w:tblCellSpacing w:w="75" w:type="dxa"/>
        </w:trPr>
        <w:tc>
          <w:tcPr>
            <w:tcW w:w="0" w:type="auto"/>
            <w:tcBorders>
              <w:top w:val="nil"/>
              <w:left w:val="nil"/>
              <w:bottom w:val="single" w:sz="36" w:space="0" w:color="B0B0B0"/>
              <w:right w:val="nil"/>
            </w:tcBorders>
            <w:shd w:val="clear" w:color="auto" w:fill="FFFFFF"/>
            <w:tcMar>
              <w:top w:w="0" w:type="dxa"/>
              <w:left w:w="0" w:type="dxa"/>
              <w:bottom w:w="45" w:type="dxa"/>
              <w:right w:w="0" w:type="dxa"/>
            </w:tcMar>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color w:val="222222"/>
                <w:sz w:val="24"/>
                <w:szCs w:val="24"/>
                <w:lang w:eastAsia="fr-FR" w:bidi="he-IL"/>
              </w:rPr>
              <w:t>BLOG</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240" w:line="240" w:lineRule="auto"/>
              <w:rPr>
                <w:rFonts w:ascii="Times New Roman" w:eastAsia="Times New Roman" w:hAnsi="Times New Roman" w:cs="Times New Roman"/>
                <w:color w:val="222222"/>
                <w:sz w:val="24"/>
                <w:szCs w:val="24"/>
                <w:lang w:eastAsia="fr-FR" w:bidi="he-IL"/>
              </w:rPr>
            </w:pPr>
            <w:hyperlink r:id="rId41" w:anchor="xtor=RSS-32280322" w:tgtFrame="_blank" w:history="1">
              <w:r w:rsidRPr="00A20043">
                <w:rPr>
                  <w:rFonts w:ascii="Times New Roman" w:eastAsia="Times New Roman" w:hAnsi="Times New Roman" w:cs="Times New Roman"/>
                  <w:b/>
                  <w:bCs/>
                  <w:color w:val="1155CC"/>
                  <w:sz w:val="24"/>
                  <w:szCs w:val="24"/>
                  <w:u w:val="single"/>
                  <w:lang w:eastAsia="fr-FR" w:bidi="he-IL"/>
                </w:rPr>
                <w:t>Quel avenir pour </w:t>
              </w:r>
              <w:r w:rsidRPr="00A20043">
                <w:rPr>
                  <w:rFonts w:ascii="Times New Roman" w:eastAsia="Times New Roman" w:hAnsi="Times New Roman" w:cs="Times New Roman"/>
                  <w:b/>
                  <w:bCs/>
                  <w:color w:val="222222"/>
                  <w:sz w:val="24"/>
                  <w:szCs w:val="24"/>
                  <w:u w:val="single"/>
                  <w:lang w:eastAsia="fr-FR" w:bidi="he-IL"/>
                </w:rPr>
                <w:t>le</w:t>
              </w:r>
              <w:r w:rsidRPr="00A20043">
                <w:rPr>
                  <w:rFonts w:ascii="Times New Roman" w:eastAsia="Times New Roman" w:hAnsi="Times New Roman" w:cs="Times New Roman"/>
                  <w:b/>
                  <w:bCs/>
                  <w:color w:val="1155CC"/>
                  <w:sz w:val="24"/>
                  <w:szCs w:val="24"/>
                  <w:u w:val="single"/>
                  <w:lang w:eastAsia="fr-FR" w:bidi="he-IL"/>
                </w:rPr>
                <w:t> travail dans un </w:t>
              </w:r>
              <w:proofErr w:type="spellStart"/>
              <w:r w:rsidRPr="00A20043">
                <w:rPr>
                  <w:rFonts w:ascii="Times New Roman" w:eastAsia="Times New Roman" w:hAnsi="Times New Roman" w:cs="Times New Roman"/>
                  <w:b/>
                  <w:bCs/>
                  <w:color w:val="222222"/>
                  <w:sz w:val="24"/>
                  <w:szCs w:val="24"/>
                  <w:u w:val="single"/>
                  <w:lang w:eastAsia="fr-FR" w:bidi="he-IL"/>
                </w:rPr>
                <w:t>monde</w:t>
              </w:r>
              <w:r w:rsidRPr="00A20043">
                <w:rPr>
                  <w:rFonts w:ascii="Times New Roman" w:eastAsia="Times New Roman" w:hAnsi="Times New Roman" w:cs="Times New Roman"/>
                  <w:b/>
                  <w:bCs/>
                  <w:color w:val="1155CC"/>
                  <w:sz w:val="24"/>
                  <w:szCs w:val="24"/>
                  <w:u w:val="single"/>
                  <w:lang w:eastAsia="fr-FR" w:bidi="he-IL"/>
                </w:rPr>
                <w:t>numérique</w:t>
              </w:r>
              <w:proofErr w:type="spellEnd"/>
              <w:r w:rsidRPr="00A20043">
                <w:rPr>
                  <w:rFonts w:ascii="Times New Roman" w:eastAsia="Times New Roman" w:hAnsi="Times New Roman" w:cs="Times New Roman"/>
                  <w:b/>
                  <w:bCs/>
                  <w:color w:val="1155CC"/>
                  <w:sz w:val="24"/>
                  <w:szCs w:val="24"/>
                  <w:u w:val="single"/>
                  <w:lang w:eastAsia="fr-FR" w:bidi="he-IL"/>
                </w:rPr>
                <w:t xml:space="preserve"> ?</w:t>
              </w:r>
            </w:hyperlink>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24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t>L'avenir du travail ? Vaste sujet qui a constitué le cœur des discussions de Lift 2014, qui s'est tenue du 21 au 22 octobre à Marseille. Pour Daniel Kaplan (@</w:t>
            </w:r>
            <w:proofErr w:type="spellStart"/>
            <w:r w:rsidRPr="00A20043">
              <w:rPr>
                <w:rFonts w:ascii="Times New Roman" w:eastAsia="Times New Roman" w:hAnsi="Times New Roman" w:cs="Times New Roman"/>
                <w:color w:val="222222"/>
                <w:sz w:val="24"/>
                <w:szCs w:val="24"/>
                <w:lang w:eastAsia="fr-FR" w:bidi="he-IL"/>
              </w:rPr>
              <w:t>kaplandaniel</w:t>
            </w:r>
            <w:proofErr w:type="spellEnd"/>
            <w:r w:rsidRPr="00A20043">
              <w:rPr>
                <w:rFonts w:ascii="Times New Roman" w:eastAsia="Times New Roman" w:hAnsi="Times New Roman" w:cs="Times New Roman"/>
                <w:color w:val="222222"/>
                <w:sz w:val="24"/>
                <w:szCs w:val="24"/>
                <w:lang w:eastAsia="fr-FR" w:bidi="he-IL"/>
              </w:rPr>
              <w:t xml:space="preserve">), délégué général de la </w:t>
            </w:r>
            <w:proofErr w:type="spellStart"/>
            <w:r w:rsidRPr="00A20043">
              <w:rPr>
                <w:rFonts w:ascii="Times New Roman" w:eastAsia="Times New Roman" w:hAnsi="Times New Roman" w:cs="Times New Roman"/>
                <w:color w:val="222222"/>
                <w:sz w:val="24"/>
                <w:szCs w:val="24"/>
                <w:lang w:eastAsia="fr-FR" w:bidi="he-IL"/>
              </w:rPr>
              <w:t>Fing</w:t>
            </w:r>
            <w:proofErr w:type="spellEnd"/>
            <w:r w:rsidRPr="00A20043">
              <w:rPr>
                <w:rFonts w:ascii="Times New Roman" w:eastAsia="Times New Roman" w:hAnsi="Times New Roman" w:cs="Times New Roman"/>
                <w:color w:val="222222"/>
                <w:sz w:val="24"/>
                <w:szCs w:val="24"/>
                <w:lang w:eastAsia="fr-FR" w:bidi="he-IL"/>
              </w:rPr>
              <w:t>, coorganisateur de cette conférence (et éditeur d'InternetActu.net, partenaire de l'organisation du programme de cette journée), certaines études estiment que 40 à 70 % des métiers d'aujourd'hui sont candidats à l'automatisation. A terme, tous les secteurs sont appelés à être bouleversés par </w:t>
            </w:r>
            <w:proofErr w:type="spellStart"/>
            <w:r w:rsidRPr="00A20043">
              <w:rPr>
                <w:rFonts w:ascii="Times New Roman" w:eastAsia="Times New Roman" w:hAnsi="Times New Roman" w:cs="Times New Roman"/>
                <w:color w:val="222222"/>
                <w:sz w:val="24"/>
                <w:szCs w:val="24"/>
                <w:lang w:eastAsia="fr-FR" w:bidi="he-IL"/>
              </w:rPr>
              <w:t>lenumérique</w:t>
            </w:r>
            <w:proofErr w:type="spellEnd"/>
            <w:r w:rsidRPr="00A20043">
              <w:rPr>
                <w:rFonts w:ascii="Times New Roman" w:eastAsia="Times New Roman" w:hAnsi="Times New Roman" w:cs="Times New Roman"/>
                <w:color w:val="222222"/>
                <w:sz w:val="24"/>
                <w:szCs w:val="24"/>
                <w:lang w:eastAsia="fr-FR" w:bidi="he-IL"/>
              </w:rPr>
              <w:t>. Pour beaucoup d'observateurs, l'intermittence et l'auto-entrepreneuriat seraient les éclaireurs de ces nouvelles formes de travail. </w:t>
            </w:r>
            <w:r w:rsidRPr="00A20043">
              <w:rPr>
                <w:rFonts w:ascii="Times New Roman" w:eastAsia="Times New Roman" w:hAnsi="Times New Roman" w:cs="Times New Roman"/>
                <w:i/>
                <w:iCs/>
                <w:color w:val="222222"/>
                <w:sz w:val="24"/>
                <w:szCs w:val="24"/>
                <w:lang w:eastAsia="fr-FR" w:bidi="he-IL"/>
              </w:rPr>
              <w:t>"Le numérique rend </w:t>
            </w:r>
            <w:proofErr w:type="spellStart"/>
            <w:r w:rsidRPr="00A20043">
              <w:rPr>
                <w:rFonts w:ascii="Times New Roman" w:eastAsia="Times New Roman" w:hAnsi="Times New Roman" w:cs="Times New Roman"/>
                <w:i/>
                <w:iCs/>
                <w:color w:val="222222"/>
                <w:sz w:val="24"/>
                <w:szCs w:val="24"/>
                <w:lang w:eastAsia="fr-FR" w:bidi="he-IL"/>
              </w:rPr>
              <w:t>lemonde</w:t>
            </w:r>
            <w:proofErr w:type="spellEnd"/>
            <w:r w:rsidRPr="00A20043">
              <w:rPr>
                <w:rFonts w:ascii="Times New Roman" w:eastAsia="Times New Roman" w:hAnsi="Times New Roman" w:cs="Times New Roman"/>
                <w:i/>
                <w:iCs/>
                <w:color w:val="222222"/>
                <w:sz w:val="24"/>
                <w:szCs w:val="24"/>
                <w:lang w:eastAsia="fr-FR" w:bidi="he-IL"/>
              </w:rPr>
              <w:t> et les organisations plates"</w:t>
            </w:r>
            <w:r w:rsidRPr="00A20043">
              <w:rPr>
                <w:rFonts w:ascii="Times New Roman" w:eastAsia="Times New Roman" w:hAnsi="Times New Roman" w:cs="Times New Roman"/>
                <w:color w:val="222222"/>
                <w:sz w:val="24"/>
                <w:szCs w:val="24"/>
                <w:lang w:eastAsia="fr-FR" w:bidi="he-IL"/>
              </w:rPr>
              <w:t>, remarque Daniel Kaplan. Il nous libère des carcans hiérarchiques, temporels, géographiques… Mais d'un autre côté, il favorise la taylorisation d'un certain nombre de métiers qui ne l'étaient pas avant. Désormais, nous sommes gouvernés par des hiérarchies abstraites, incarnées dans des rituels, des règles et des processus informatiques. Autant d'exemples, de signes, qui marquent la tension du lien entre numérique et travail.</w:t>
            </w:r>
            <w:r w:rsidRPr="00A20043">
              <w:rPr>
                <w:rFonts w:ascii="Times New Roman" w:eastAsia="Times New Roman" w:hAnsi="Times New Roman" w:cs="Times New Roman"/>
                <w:color w:val="222222"/>
                <w:sz w:val="24"/>
                <w:szCs w:val="24"/>
                <w:lang w:eastAsia="fr-FR" w:bidi="he-IL"/>
              </w:rPr>
              <w:br/>
            </w:r>
            <w:r w:rsidRPr="00A20043">
              <w:rPr>
                <w:rFonts w:ascii="Times New Roman" w:eastAsia="Times New Roman" w:hAnsi="Times New Roman" w:cs="Times New Roman"/>
                <w:color w:val="222222"/>
                <w:sz w:val="24"/>
                <w:szCs w:val="24"/>
                <w:lang w:eastAsia="fr-FR" w:bidi="he-IL"/>
              </w:rPr>
              <w:br/>
              <w:t xml:space="preserve">Repenser la place de l'individu au travail dans une société numérique, tel était l'enjeu du </w:t>
            </w:r>
            <w:r w:rsidRPr="00A20043">
              <w:rPr>
                <w:rFonts w:ascii="Times New Roman" w:eastAsia="Times New Roman" w:hAnsi="Times New Roman" w:cs="Times New Roman"/>
                <w:color w:val="222222"/>
                <w:sz w:val="24"/>
                <w:szCs w:val="24"/>
                <w:lang w:eastAsia="fr-FR" w:bidi="he-IL"/>
              </w:rPr>
              <w:lastRenderedPageBreak/>
              <w:t xml:space="preserve">groupe de travail </w:t>
            </w:r>
            <w:proofErr w:type="spellStart"/>
            <w:r w:rsidRPr="00A20043">
              <w:rPr>
                <w:rFonts w:ascii="Times New Roman" w:eastAsia="Times New Roman" w:hAnsi="Times New Roman" w:cs="Times New Roman"/>
                <w:color w:val="222222"/>
                <w:sz w:val="24"/>
                <w:szCs w:val="24"/>
                <w:lang w:eastAsia="fr-FR" w:bidi="he-IL"/>
              </w:rPr>
              <w:t>Digiwork</w:t>
            </w:r>
            <w:proofErr w:type="spellEnd"/>
            <w:r w:rsidRPr="00A20043">
              <w:rPr>
                <w:rFonts w:ascii="Times New Roman" w:eastAsia="Times New Roman" w:hAnsi="Times New Roman" w:cs="Times New Roman"/>
                <w:color w:val="222222"/>
                <w:sz w:val="24"/>
                <w:szCs w:val="24"/>
                <w:lang w:eastAsia="fr-FR" w:bidi="he-IL"/>
              </w:rPr>
              <w:t xml:space="preserve"> lancé par la </w:t>
            </w:r>
            <w:proofErr w:type="spellStart"/>
            <w:r w:rsidRPr="00A20043">
              <w:rPr>
                <w:rFonts w:ascii="Times New Roman" w:eastAsia="Times New Roman" w:hAnsi="Times New Roman" w:cs="Times New Roman"/>
                <w:color w:val="222222"/>
                <w:sz w:val="24"/>
                <w:szCs w:val="24"/>
                <w:lang w:eastAsia="fr-FR" w:bidi="he-IL"/>
              </w:rPr>
              <w:t>Fing</w:t>
            </w:r>
            <w:proofErr w:type="spellEnd"/>
            <w:r w:rsidRPr="00A20043">
              <w:rPr>
                <w:rFonts w:ascii="Times New Roman" w:eastAsia="Times New Roman" w:hAnsi="Times New Roman" w:cs="Times New Roman"/>
                <w:color w:val="222222"/>
                <w:sz w:val="24"/>
                <w:szCs w:val="24"/>
                <w:lang w:eastAsia="fr-FR" w:bidi="he-IL"/>
              </w:rPr>
              <w:t xml:space="preserve"> en 2013. Comprendre en quoi le numérique est à la fois une cause et une solution à la crise du travail que l'on connaît en mesurant plus finement l'impact du numérique sur ces transformations. C'est l'exposé que nous ont proposé Amandine </w:t>
            </w:r>
            <w:proofErr w:type="spellStart"/>
            <w:r w:rsidRPr="00A20043">
              <w:rPr>
                <w:rFonts w:ascii="Times New Roman" w:eastAsia="Times New Roman" w:hAnsi="Times New Roman" w:cs="Times New Roman"/>
                <w:color w:val="222222"/>
                <w:sz w:val="24"/>
                <w:szCs w:val="24"/>
                <w:lang w:eastAsia="fr-FR" w:bidi="he-IL"/>
              </w:rPr>
              <w:t>Brugière</w:t>
            </w:r>
            <w:proofErr w:type="spellEnd"/>
            <w:r w:rsidRPr="00A20043">
              <w:rPr>
                <w:rFonts w:ascii="Times New Roman" w:eastAsia="Times New Roman" w:hAnsi="Times New Roman" w:cs="Times New Roman"/>
                <w:color w:val="222222"/>
                <w:sz w:val="24"/>
                <w:szCs w:val="24"/>
                <w:lang w:eastAsia="fr-FR" w:bidi="he-IL"/>
              </w:rPr>
              <w:t xml:space="preserve"> (@</w:t>
            </w:r>
            <w:proofErr w:type="spellStart"/>
            <w:r w:rsidRPr="00A20043">
              <w:rPr>
                <w:rFonts w:ascii="Times New Roman" w:eastAsia="Times New Roman" w:hAnsi="Times New Roman" w:cs="Times New Roman"/>
                <w:color w:val="222222"/>
                <w:sz w:val="24"/>
                <w:szCs w:val="24"/>
                <w:lang w:eastAsia="fr-FR" w:bidi="he-IL"/>
              </w:rPr>
              <w:t>abrugiere</w:t>
            </w:r>
            <w:proofErr w:type="spellEnd"/>
            <w:r w:rsidRPr="00A20043">
              <w:rPr>
                <w:rFonts w:ascii="Times New Roman" w:eastAsia="Times New Roman" w:hAnsi="Times New Roman" w:cs="Times New Roman"/>
                <w:color w:val="222222"/>
                <w:sz w:val="24"/>
                <w:szCs w:val="24"/>
                <w:lang w:eastAsia="fr-FR" w:bidi="he-IL"/>
              </w:rPr>
              <w:t xml:space="preserve">) et </w:t>
            </w:r>
            <w:proofErr w:type="spellStart"/>
            <w:r w:rsidRPr="00A20043">
              <w:rPr>
                <w:rFonts w:ascii="Times New Roman" w:eastAsia="Times New Roman" w:hAnsi="Times New Roman" w:cs="Times New Roman"/>
                <w:color w:val="222222"/>
                <w:sz w:val="24"/>
                <w:szCs w:val="24"/>
                <w:lang w:eastAsia="fr-FR" w:bidi="he-IL"/>
              </w:rPr>
              <w:t>Aurialie</w:t>
            </w:r>
            <w:proofErr w:type="spellEnd"/>
            <w:r w:rsidRPr="00A20043">
              <w:rPr>
                <w:rFonts w:ascii="Times New Roman" w:eastAsia="Times New Roman" w:hAnsi="Times New Roman" w:cs="Times New Roman"/>
                <w:color w:val="222222"/>
                <w:sz w:val="24"/>
                <w:szCs w:val="24"/>
                <w:lang w:eastAsia="fr-FR" w:bidi="he-IL"/>
              </w:rPr>
              <w:t xml:space="preserve"> </w:t>
            </w:r>
            <w:proofErr w:type="spellStart"/>
            <w:r w:rsidRPr="00A20043">
              <w:rPr>
                <w:rFonts w:ascii="Times New Roman" w:eastAsia="Times New Roman" w:hAnsi="Times New Roman" w:cs="Times New Roman"/>
                <w:color w:val="222222"/>
                <w:sz w:val="24"/>
                <w:szCs w:val="24"/>
                <w:lang w:eastAsia="fr-FR" w:bidi="he-IL"/>
              </w:rPr>
              <w:t>Jublin</w:t>
            </w:r>
            <w:proofErr w:type="spellEnd"/>
            <w:r w:rsidRPr="00A20043">
              <w:rPr>
                <w:rFonts w:ascii="Times New Roman" w:eastAsia="Times New Roman" w:hAnsi="Times New Roman" w:cs="Times New Roman"/>
                <w:color w:val="222222"/>
                <w:sz w:val="24"/>
                <w:szCs w:val="24"/>
                <w:lang w:eastAsia="fr-FR" w:bidi="he-IL"/>
              </w:rPr>
              <w:t xml:space="preserve"> (@</w:t>
            </w:r>
            <w:proofErr w:type="spellStart"/>
            <w:r w:rsidRPr="00A20043">
              <w:rPr>
                <w:rFonts w:ascii="Times New Roman" w:eastAsia="Times New Roman" w:hAnsi="Times New Roman" w:cs="Times New Roman"/>
                <w:color w:val="222222"/>
                <w:sz w:val="24"/>
                <w:szCs w:val="24"/>
                <w:lang w:eastAsia="fr-FR" w:bidi="he-IL"/>
              </w:rPr>
              <w:t>aurialie</w:t>
            </w:r>
            <w:proofErr w:type="spellEnd"/>
            <w:r w:rsidRPr="00A20043">
              <w:rPr>
                <w:rFonts w:ascii="Times New Roman" w:eastAsia="Times New Roman" w:hAnsi="Times New Roman" w:cs="Times New Roman"/>
                <w:color w:val="222222"/>
                <w:sz w:val="24"/>
                <w:szCs w:val="24"/>
                <w:lang w:eastAsia="fr-FR" w:bidi="he-IL"/>
              </w:rPr>
              <w:t>), responsables travaux de ce groupe de travail, qui a rassemblé pendant un an plus de 200 personnes pour cerner l'évolution du travail à l'heure du numérique. La synthèse de ces réflexions tourne autour de trois axes (voir la présentation) : l'individu au travail, l'apparition de nouveaux collectifs et </w:t>
            </w:r>
            <w:proofErr w:type="spellStart"/>
            <w:r w:rsidRPr="00A20043">
              <w:rPr>
                <w:rFonts w:ascii="Times New Roman" w:eastAsia="Times New Roman" w:hAnsi="Times New Roman" w:cs="Times New Roman"/>
                <w:color w:val="222222"/>
                <w:sz w:val="24"/>
                <w:szCs w:val="24"/>
                <w:lang w:eastAsia="fr-FR" w:bidi="he-IL"/>
              </w:rPr>
              <w:t>leproblème</w:t>
            </w:r>
            <w:proofErr w:type="spellEnd"/>
            <w:r w:rsidRPr="00A20043">
              <w:rPr>
                <w:rFonts w:ascii="Times New Roman" w:eastAsia="Times New Roman" w:hAnsi="Times New Roman" w:cs="Times New Roman"/>
                <w:color w:val="222222"/>
                <w:sz w:val="24"/>
                <w:szCs w:val="24"/>
                <w:lang w:eastAsia="fr-FR" w:bidi="he-IL"/>
              </w:rPr>
              <w:t xml:space="preserve"> de la valorisation et de la mesure du travail...</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240" w:line="240" w:lineRule="auto"/>
              <w:jc w:val="right"/>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color w:val="222222"/>
                <w:sz w:val="24"/>
                <w:szCs w:val="24"/>
                <w:lang w:eastAsia="fr-FR" w:bidi="he-IL"/>
              </w:rPr>
              <w:lastRenderedPageBreak/>
              <w:t>Lu sur Internet Actu</w:t>
            </w:r>
          </w:p>
        </w:tc>
      </w:tr>
      <w:tr w:rsidR="00A20043" w:rsidRPr="00A20043" w:rsidTr="00A20043">
        <w:trPr>
          <w:tblCellSpacing w:w="75" w:type="dxa"/>
        </w:trPr>
        <w:tc>
          <w:tcPr>
            <w:tcW w:w="0" w:type="auto"/>
            <w:tcBorders>
              <w:top w:val="nil"/>
              <w:left w:val="nil"/>
              <w:bottom w:val="single" w:sz="36" w:space="0" w:color="B0B0B0"/>
              <w:right w:val="nil"/>
            </w:tcBorders>
            <w:shd w:val="clear" w:color="auto" w:fill="FFFFFF"/>
            <w:tcMar>
              <w:top w:w="0" w:type="dxa"/>
              <w:left w:w="0" w:type="dxa"/>
              <w:bottom w:w="45" w:type="dxa"/>
              <w:right w:w="0" w:type="dxa"/>
            </w:tcMar>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color w:val="222222"/>
                <w:sz w:val="24"/>
                <w:szCs w:val="24"/>
                <w:lang w:eastAsia="fr-FR" w:bidi="he-IL"/>
              </w:rPr>
              <w:t>TITRES DE L'ÉCONOMIE</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i/>
                <w:iCs/>
                <w:color w:val="222222"/>
                <w:sz w:val="24"/>
                <w:szCs w:val="24"/>
                <w:lang w:eastAsia="fr-FR" w:bidi="he-IL"/>
              </w:rPr>
              <w:t>Les Echos : </w:t>
            </w:r>
            <w:r w:rsidRPr="00A20043">
              <w:rPr>
                <w:rFonts w:ascii="Times New Roman" w:eastAsia="Times New Roman" w:hAnsi="Times New Roman" w:cs="Times New Roman"/>
                <w:color w:val="222222"/>
                <w:sz w:val="24"/>
                <w:szCs w:val="24"/>
                <w:lang w:eastAsia="fr-FR" w:bidi="he-IL"/>
              </w:rPr>
              <w:t>Construction de logements neufs : un naufrage sans précédent</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i/>
                <w:iCs/>
                <w:color w:val="222222"/>
                <w:sz w:val="24"/>
                <w:szCs w:val="24"/>
                <w:lang w:eastAsia="fr-FR" w:bidi="he-IL"/>
              </w:rPr>
              <w:t>Le Figaro Economie : </w:t>
            </w:r>
            <w:r w:rsidRPr="00A20043">
              <w:rPr>
                <w:rFonts w:ascii="Times New Roman" w:eastAsia="Times New Roman" w:hAnsi="Times New Roman" w:cs="Times New Roman"/>
                <w:color w:val="222222"/>
                <w:sz w:val="24"/>
                <w:szCs w:val="24"/>
                <w:lang w:eastAsia="fr-FR" w:bidi="he-IL"/>
              </w:rPr>
              <w:t>Réformes. l'étau de Bruxelles se resserre sur la France</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i/>
                <w:iCs/>
                <w:color w:val="222222"/>
                <w:sz w:val="24"/>
                <w:szCs w:val="24"/>
                <w:lang w:eastAsia="fr-FR" w:bidi="he-IL"/>
              </w:rPr>
              <w:t>La Tribune : </w:t>
            </w:r>
            <w:r w:rsidRPr="00A20043">
              <w:rPr>
                <w:rFonts w:ascii="Times New Roman" w:eastAsia="Times New Roman" w:hAnsi="Times New Roman" w:cs="Times New Roman"/>
                <w:color w:val="222222"/>
                <w:sz w:val="24"/>
                <w:szCs w:val="24"/>
                <w:lang w:eastAsia="fr-FR" w:bidi="he-IL"/>
              </w:rPr>
              <w:t>Le port d'Athènes remis en ordre avec l'aide de la Chine</w:t>
            </w:r>
          </w:p>
        </w:tc>
      </w:tr>
      <w:tr w:rsidR="00A20043" w:rsidRPr="00A20043" w:rsidTr="00A20043">
        <w:trPr>
          <w:tblCellSpacing w:w="75" w:type="dxa"/>
        </w:trPr>
        <w:tc>
          <w:tcPr>
            <w:tcW w:w="0" w:type="auto"/>
            <w:shd w:val="clear" w:color="auto" w:fill="FFFFFF"/>
            <w:vAlign w:val="center"/>
            <w:hideMark/>
          </w:tcPr>
          <w:p w:rsidR="00A20043" w:rsidRPr="00A20043" w:rsidRDefault="00A20043" w:rsidP="00A20043">
            <w:pPr>
              <w:spacing w:after="0" w:line="240" w:lineRule="auto"/>
              <w:rPr>
                <w:rFonts w:ascii="Times New Roman" w:eastAsia="Times New Roman" w:hAnsi="Times New Roman" w:cs="Times New Roman"/>
                <w:color w:val="222222"/>
                <w:sz w:val="24"/>
                <w:szCs w:val="24"/>
                <w:lang w:eastAsia="fr-FR" w:bidi="he-IL"/>
              </w:rPr>
            </w:pPr>
            <w:r w:rsidRPr="00A20043">
              <w:rPr>
                <w:rFonts w:ascii="Times New Roman" w:eastAsia="Times New Roman" w:hAnsi="Times New Roman" w:cs="Times New Roman"/>
                <w:b/>
                <w:bCs/>
                <w:i/>
                <w:iCs/>
                <w:color w:val="222222"/>
                <w:sz w:val="24"/>
                <w:szCs w:val="24"/>
                <w:lang w:eastAsia="fr-FR" w:bidi="he-IL"/>
              </w:rPr>
              <w:t>Financial Times : </w:t>
            </w:r>
            <w:r w:rsidRPr="00A20043">
              <w:rPr>
                <w:rFonts w:ascii="Times New Roman" w:eastAsia="Times New Roman" w:hAnsi="Times New Roman" w:cs="Times New Roman"/>
                <w:color w:val="222222"/>
                <w:sz w:val="24"/>
                <w:szCs w:val="24"/>
                <w:lang w:eastAsia="fr-FR" w:bidi="he-IL"/>
              </w:rPr>
              <w:t xml:space="preserve">Un allié de </w:t>
            </w:r>
            <w:proofErr w:type="spellStart"/>
            <w:r w:rsidRPr="00A20043">
              <w:rPr>
                <w:rFonts w:ascii="Times New Roman" w:eastAsia="Times New Roman" w:hAnsi="Times New Roman" w:cs="Times New Roman"/>
                <w:color w:val="222222"/>
                <w:sz w:val="24"/>
                <w:szCs w:val="24"/>
                <w:lang w:eastAsia="fr-FR" w:bidi="he-IL"/>
              </w:rPr>
              <w:t>Merkel</w:t>
            </w:r>
            <w:proofErr w:type="spellEnd"/>
            <w:r w:rsidRPr="00A20043">
              <w:rPr>
                <w:rFonts w:ascii="Times New Roman" w:eastAsia="Times New Roman" w:hAnsi="Times New Roman" w:cs="Times New Roman"/>
                <w:color w:val="222222"/>
                <w:sz w:val="24"/>
                <w:szCs w:val="24"/>
                <w:lang w:eastAsia="fr-FR" w:bidi="he-IL"/>
              </w:rPr>
              <w:t xml:space="preserve"> questionne Hollande sur sa "volonté" de régler les problèmes de l'économie française</w:t>
            </w:r>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t> </w:t>
      </w:r>
    </w:p>
    <w:tbl>
      <w:tblPr>
        <w:tblW w:w="4620" w:type="dxa"/>
        <w:tblCellSpacing w:w="75" w:type="dxa"/>
        <w:shd w:val="clear" w:color="auto" w:fill="FFFFFF"/>
        <w:tblCellMar>
          <w:left w:w="0" w:type="dxa"/>
          <w:right w:w="0" w:type="dxa"/>
        </w:tblCellMar>
        <w:tblLook w:val="04A0"/>
      </w:tblPr>
      <w:tblGrid>
        <w:gridCol w:w="4920"/>
      </w:tblGrid>
      <w:tr w:rsidR="00A20043" w:rsidRPr="00A20043" w:rsidTr="00A20043">
        <w:trPr>
          <w:tblCellSpacing w:w="75" w:type="dxa"/>
        </w:trPr>
        <w:tc>
          <w:tcPr>
            <w:tcW w:w="0" w:type="auto"/>
            <w:shd w:val="clear" w:color="auto" w:fill="FFFFFF"/>
            <w:vAlign w:val="center"/>
            <w:hideMark/>
          </w:tcPr>
          <w:tbl>
            <w:tblPr>
              <w:tblW w:w="4620" w:type="dxa"/>
              <w:tblCellSpacing w:w="22" w:type="dxa"/>
              <w:tblCellMar>
                <w:left w:w="0" w:type="dxa"/>
                <w:right w:w="0" w:type="dxa"/>
              </w:tblCellMar>
              <w:tblLook w:val="04A0"/>
            </w:tblPr>
            <w:tblGrid>
              <w:gridCol w:w="4620"/>
            </w:tblGrid>
            <w:tr w:rsidR="00A20043" w:rsidRPr="00A20043">
              <w:trPr>
                <w:tblCellSpacing w:w="22" w:type="dxa"/>
              </w:trPr>
              <w:tc>
                <w:tcPr>
                  <w:tcW w:w="0" w:type="auto"/>
                  <w:tcBorders>
                    <w:top w:val="nil"/>
                    <w:left w:val="nil"/>
                    <w:bottom w:val="single" w:sz="36" w:space="0" w:color="B0B0B0"/>
                    <w:right w:val="nil"/>
                  </w:tcBorders>
                  <w:tcMar>
                    <w:top w:w="0" w:type="dxa"/>
                    <w:left w:w="0" w:type="dxa"/>
                    <w:bottom w:w="45" w:type="dxa"/>
                    <w:right w:w="0" w:type="dxa"/>
                  </w:tcMar>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ÉTUDES</w:t>
                  </w:r>
                </w:p>
              </w:tc>
            </w:tr>
            <w:tr w:rsidR="00A20043" w:rsidRPr="00A20043">
              <w:trPr>
                <w:tblCellSpacing w:w="22" w:type="dxa"/>
              </w:trPr>
              <w:tc>
                <w:tcPr>
                  <w:tcW w:w="0" w:type="auto"/>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SECTEUR FINANCIER</w:t>
                  </w:r>
                  <w:r w:rsidRPr="00A20043">
                    <w:rPr>
                      <w:rFonts w:ascii="Times New Roman" w:eastAsia="Times New Roman" w:hAnsi="Times New Roman" w:cs="Times New Roman"/>
                      <w:sz w:val="24"/>
                      <w:szCs w:val="24"/>
                      <w:lang w:eastAsia="fr-FR" w:bidi="he-IL"/>
                    </w:rPr>
                    <w:br/>
                  </w:r>
                  <w:hyperlink r:id="rId42" w:tgtFrame="_blank" w:history="1">
                    <w:r w:rsidRPr="00A20043">
                      <w:rPr>
                        <w:rFonts w:ascii="Times New Roman" w:eastAsia="Times New Roman" w:hAnsi="Times New Roman" w:cs="Times New Roman"/>
                        <w:color w:val="1155CC"/>
                        <w:sz w:val="24"/>
                        <w:szCs w:val="24"/>
                        <w:u w:val="single"/>
                        <w:lang w:eastAsia="fr-FR" w:bidi="he-IL"/>
                      </w:rPr>
                      <w:t>Banques hybrides et réglementation des banques de l'ombre</w:t>
                    </w:r>
                  </w:hyperlink>
                  <w:r w:rsidRPr="00A20043">
                    <w:rPr>
                      <w:rFonts w:ascii="Times New Roman" w:eastAsia="Times New Roman" w:hAnsi="Times New Roman" w:cs="Times New Roman"/>
                      <w:sz w:val="24"/>
                      <w:szCs w:val="24"/>
                      <w:lang w:eastAsia="fr-FR" w:bidi="he-IL"/>
                    </w:rPr>
                    <w:br/>
                    <w:t>Source : Terra Nova.</w:t>
                  </w:r>
                </w:p>
              </w:tc>
            </w:tr>
            <w:tr w:rsidR="00A20043" w:rsidRPr="00A20043">
              <w:trPr>
                <w:tblCellSpacing w:w="22" w:type="dxa"/>
              </w:trPr>
              <w:tc>
                <w:tcPr>
                  <w:tcW w:w="0" w:type="auto"/>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INTERNATIONAL</w:t>
                  </w:r>
                  <w:r w:rsidRPr="00A20043">
                    <w:rPr>
                      <w:rFonts w:ascii="Times New Roman" w:eastAsia="Times New Roman" w:hAnsi="Times New Roman" w:cs="Times New Roman"/>
                      <w:sz w:val="24"/>
                      <w:szCs w:val="24"/>
                      <w:lang w:eastAsia="fr-FR" w:bidi="he-IL"/>
                    </w:rPr>
                    <w:br/>
                  </w:r>
                  <w:hyperlink r:id="rId43" w:tgtFrame="_blank" w:history="1">
                    <w:r w:rsidRPr="00A20043">
                      <w:rPr>
                        <w:rFonts w:ascii="Times New Roman" w:eastAsia="Times New Roman" w:hAnsi="Times New Roman" w:cs="Times New Roman"/>
                        <w:color w:val="1155CC"/>
                        <w:sz w:val="24"/>
                        <w:szCs w:val="24"/>
                        <w:u w:val="single"/>
                        <w:lang w:eastAsia="fr-FR" w:bidi="he-IL"/>
                      </w:rPr>
                      <w:t>Etude économique sur l'Inde</w:t>
                    </w:r>
                  </w:hyperlink>
                  <w:r w:rsidRPr="00A20043">
                    <w:rPr>
                      <w:rFonts w:ascii="Times New Roman" w:eastAsia="Times New Roman" w:hAnsi="Times New Roman" w:cs="Times New Roman"/>
                      <w:sz w:val="24"/>
                      <w:szCs w:val="24"/>
                      <w:lang w:eastAsia="fr-FR" w:bidi="he-IL"/>
                    </w:rPr>
                    <w:br/>
                    <w:t>Source : OCDE.</w:t>
                  </w:r>
                </w:p>
              </w:tc>
            </w:tr>
            <w:tr w:rsidR="00A20043" w:rsidRPr="00A20043">
              <w:trPr>
                <w:tblCellSpacing w:w="22" w:type="dxa"/>
              </w:trPr>
              <w:tc>
                <w:tcPr>
                  <w:tcW w:w="0" w:type="auto"/>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TECHNOLOGIES DE L'INFORMATION</w:t>
                  </w:r>
                  <w:r w:rsidRPr="00A20043">
                    <w:rPr>
                      <w:rFonts w:ascii="Times New Roman" w:eastAsia="Times New Roman" w:hAnsi="Times New Roman" w:cs="Times New Roman"/>
                      <w:sz w:val="24"/>
                      <w:szCs w:val="24"/>
                      <w:lang w:eastAsia="fr-FR" w:bidi="he-IL"/>
                    </w:rPr>
                    <w:br/>
                  </w:r>
                  <w:hyperlink r:id="rId44" w:tgtFrame="_blank" w:history="1">
                    <w:r w:rsidRPr="00A20043">
                      <w:rPr>
                        <w:rFonts w:ascii="Times New Roman" w:eastAsia="Times New Roman" w:hAnsi="Times New Roman" w:cs="Times New Roman"/>
                        <w:color w:val="1155CC"/>
                        <w:sz w:val="24"/>
                        <w:szCs w:val="24"/>
                        <w:u w:val="single"/>
                        <w:lang w:eastAsia="fr-FR" w:bidi="he-IL"/>
                      </w:rPr>
                      <w:t xml:space="preserve">La </w:t>
                    </w:r>
                    <w:proofErr w:type="spellStart"/>
                    <w:r w:rsidRPr="00A20043">
                      <w:rPr>
                        <w:rFonts w:ascii="Times New Roman" w:eastAsia="Times New Roman" w:hAnsi="Times New Roman" w:cs="Times New Roman"/>
                        <w:color w:val="1155CC"/>
                        <w:sz w:val="24"/>
                        <w:szCs w:val="24"/>
                        <w:u w:val="single"/>
                        <w:lang w:eastAsia="fr-FR" w:bidi="he-IL"/>
                      </w:rPr>
                      <w:t>cyber-criminalité</w:t>
                    </w:r>
                    <w:proofErr w:type="spellEnd"/>
                    <w:r w:rsidRPr="00A20043">
                      <w:rPr>
                        <w:rFonts w:ascii="Times New Roman" w:eastAsia="Times New Roman" w:hAnsi="Times New Roman" w:cs="Times New Roman"/>
                        <w:color w:val="1155CC"/>
                        <w:sz w:val="24"/>
                        <w:szCs w:val="24"/>
                        <w:u w:val="single"/>
                        <w:lang w:eastAsia="fr-FR" w:bidi="he-IL"/>
                      </w:rPr>
                      <w:t xml:space="preserve"> augmente significativement en Europe</w:t>
                    </w:r>
                  </w:hyperlink>
                  <w:r w:rsidRPr="00A20043">
                    <w:rPr>
                      <w:rFonts w:ascii="Times New Roman" w:eastAsia="Times New Roman" w:hAnsi="Times New Roman" w:cs="Times New Roman"/>
                      <w:sz w:val="24"/>
                      <w:szCs w:val="24"/>
                      <w:lang w:eastAsia="fr-FR" w:bidi="he-IL"/>
                    </w:rPr>
                    <w:br/>
                    <w:t>Source : PWC.</w:t>
                  </w:r>
                </w:p>
              </w:tc>
            </w:tr>
            <w:tr w:rsidR="00A20043" w:rsidRPr="00A20043">
              <w:trPr>
                <w:tblCellSpacing w:w="22" w:type="dxa"/>
              </w:trPr>
              <w:tc>
                <w:tcPr>
                  <w:tcW w:w="0" w:type="auto"/>
                  <w:vAlign w:val="center"/>
                  <w:hideMark/>
                </w:tcPr>
                <w:p w:rsidR="00A20043" w:rsidRPr="00A20043" w:rsidRDefault="00A20043" w:rsidP="00A20043">
                  <w:pPr>
                    <w:spacing w:after="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SANTÉ</w:t>
                  </w:r>
                  <w:r w:rsidRPr="00A20043">
                    <w:rPr>
                      <w:rFonts w:ascii="Times New Roman" w:eastAsia="Times New Roman" w:hAnsi="Times New Roman" w:cs="Times New Roman"/>
                      <w:color w:val="500050"/>
                      <w:sz w:val="24"/>
                      <w:szCs w:val="24"/>
                      <w:lang w:eastAsia="fr-FR" w:bidi="he-IL"/>
                    </w:rPr>
                    <w:br/>
                  </w:r>
                  <w:hyperlink r:id="rId45" w:tgtFrame="_blank" w:history="1">
                    <w:r w:rsidRPr="00A20043">
                      <w:rPr>
                        <w:rFonts w:ascii="Times New Roman" w:eastAsia="Times New Roman" w:hAnsi="Times New Roman" w:cs="Times New Roman"/>
                        <w:color w:val="1155CC"/>
                        <w:sz w:val="24"/>
                        <w:szCs w:val="24"/>
                        <w:u w:val="single"/>
                        <w:lang w:eastAsia="fr-FR" w:bidi="he-IL"/>
                      </w:rPr>
                      <w:t>L'Europe face à la difficulté de financement des séjours en EHPAD.</w:t>
                    </w:r>
                  </w:hyperlink>
                  <w:r w:rsidRPr="00A20043">
                    <w:rPr>
                      <w:rFonts w:ascii="Times New Roman" w:eastAsia="Times New Roman" w:hAnsi="Times New Roman" w:cs="Times New Roman"/>
                      <w:color w:val="500050"/>
                      <w:sz w:val="24"/>
                      <w:szCs w:val="24"/>
                      <w:lang w:eastAsia="fr-FR" w:bidi="he-IL"/>
                    </w:rPr>
                    <w:br/>
                  </w:r>
                  <w:r w:rsidRPr="00A20043">
                    <w:rPr>
                      <w:rFonts w:ascii="Times New Roman" w:eastAsia="Times New Roman" w:hAnsi="Times New Roman" w:cs="Times New Roman"/>
                      <w:sz w:val="24"/>
                      <w:szCs w:val="24"/>
                      <w:lang w:eastAsia="fr-FR" w:bidi="he-IL"/>
                    </w:rPr>
                    <w:t>Source : Retraite Plus.</w:t>
                  </w:r>
                </w:p>
              </w:tc>
            </w:tr>
          </w:tbl>
          <w:p w:rsidR="00A20043" w:rsidRPr="00A20043" w:rsidRDefault="00A20043" w:rsidP="00A20043">
            <w:pPr>
              <w:spacing w:after="0" w:line="240" w:lineRule="auto"/>
              <w:rPr>
                <w:rFonts w:ascii="Arial" w:eastAsia="Times New Roman" w:hAnsi="Arial" w:cs="Arial"/>
                <w:color w:val="222222"/>
                <w:sz w:val="15"/>
                <w:szCs w:val="15"/>
                <w:lang w:eastAsia="fr-FR" w:bidi="he-IL"/>
              </w:rPr>
            </w:pPr>
          </w:p>
        </w:tc>
      </w:tr>
    </w:tbl>
    <w:p w:rsidR="00A20043" w:rsidRPr="00A20043" w:rsidRDefault="00A20043" w:rsidP="00A20043">
      <w:pPr>
        <w:shd w:val="clear" w:color="auto" w:fill="FFFFFF"/>
        <w:spacing w:after="0" w:line="240" w:lineRule="auto"/>
        <w:rPr>
          <w:rFonts w:ascii="Times New Roman" w:eastAsia="Times New Roman" w:hAnsi="Times New Roman" w:cs="Times New Roman"/>
          <w:color w:val="222222"/>
          <w:sz w:val="24"/>
          <w:szCs w:val="24"/>
          <w:lang w:eastAsia="fr-FR" w:bidi="he-IL"/>
        </w:rPr>
      </w:pPr>
      <w:r w:rsidRPr="00A20043">
        <w:rPr>
          <w:rFonts w:ascii="Calibri" w:eastAsia="Times New Roman" w:hAnsi="Calibri" w:cs="Times New Roman"/>
          <w:color w:val="222222"/>
          <w:sz w:val="20"/>
          <w:szCs w:val="20"/>
          <w:lang w:eastAsia="fr-FR" w:bidi="he-IL"/>
        </w:rPr>
        <w:lastRenderedPageBreak/>
        <w:t> </w:t>
      </w:r>
    </w:p>
    <w:tbl>
      <w:tblPr>
        <w:tblW w:w="4620" w:type="dxa"/>
        <w:tblCellSpacing w:w="75" w:type="dxa"/>
        <w:shd w:val="clear" w:color="auto" w:fill="FFFFFF"/>
        <w:tblCellMar>
          <w:left w:w="0" w:type="dxa"/>
          <w:right w:w="0" w:type="dxa"/>
        </w:tblCellMar>
        <w:tblLook w:val="04A0"/>
      </w:tblPr>
      <w:tblGrid>
        <w:gridCol w:w="4920"/>
      </w:tblGrid>
      <w:tr w:rsidR="00A20043" w:rsidRPr="00A20043" w:rsidTr="00A20043">
        <w:trPr>
          <w:tblCellSpacing w:w="75" w:type="dxa"/>
        </w:trPr>
        <w:tc>
          <w:tcPr>
            <w:tcW w:w="0" w:type="auto"/>
            <w:shd w:val="clear" w:color="auto" w:fill="FFFFFF"/>
            <w:vAlign w:val="center"/>
            <w:hideMark/>
          </w:tcPr>
          <w:tbl>
            <w:tblPr>
              <w:tblW w:w="4620" w:type="dxa"/>
              <w:tblCellSpacing w:w="22" w:type="dxa"/>
              <w:tblCellMar>
                <w:left w:w="0" w:type="dxa"/>
                <w:right w:w="0" w:type="dxa"/>
              </w:tblCellMar>
              <w:tblLook w:val="04A0"/>
            </w:tblPr>
            <w:tblGrid>
              <w:gridCol w:w="4620"/>
            </w:tblGrid>
            <w:tr w:rsidR="00A20043" w:rsidRPr="00A20043">
              <w:trPr>
                <w:tblCellSpacing w:w="22" w:type="dxa"/>
              </w:trPr>
              <w:tc>
                <w:tcPr>
                  <w:tcW w:w="0" w:type="auto"/>
                  <w:tcBorders>
                    <w:top w:val="nil"/>
                    <w:left w:val="nil"/>
                    <w:bottom w:val="single" w:sz="36" w:space="0" w:color="B0B0B0"/>
                    <w:right w:val="nil"/>
                  </w:tcBorders>
                  <w:tcMar>
                    <w:top w:w="0" w:type="dxa"/>
                    <w:left w:w="0" w:type="dxa"/>
                    <w:bottom w:w="45" w:type="dxa"/>
                    <w:right w:w="0" w:type="dxa"/>
                  </w:tcMar>
                  <w:vAlign w:val="center"/>
                  <w:hideMark/>
                </w:tcPr>
                <w:p w:rsidR="00A20043" w:rsidRPr="00A20043" w:rsidRDefault="00A20043" w:rsidP="00A20043">
                  <w:pPr>
                    <w:spacing w:after="15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NOMINATIONS</w:t>
                  </w:r>
                </w:p>
              </w:tc>
            </w:tr>
            <w:tr w:rsidR="00A20043" w:rsidRPr="00A20043">
              <w:trPr>
                <w:tblCellSpacing w:w="22" w:type="dxa"/>
              </w:trPr>
              <w:tc>
                <w:tcPr>
                  <w:tcW w:w="0" w:type="auto"/>
                  <w:tcMar>
                    <w:top w:w="0" w:type="dxa"/>
                    <w:left w:w="0" w:type="dxa"/>
                    <w:bottom w:w="150" w:type="dxa"/>
                    <w:right w:w="0" w:type="dxa"/>
                  </w:tcMar>
                  <w:vAlign w:val="center"/>
                  <w:hideMark/>
                </w:tcPr>
                <w:p w:rsidR="00A20043" w:rsidRPr="00A20043" w:rsidRDefault="00A20043" w:rsidP="00A20043">
                  <w:pPr>
                    <w:spacing w:after="15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François-Valéry LECOMTE</w:t>
                  </w:r>
                  <w:r w:rsidRPr="00A20043">
                    <w:rPr>
                      <w:rFonts w:ascii="Times New Roman" w:eastAsia="Times New Roman" w:hAnsi="Times New Roman" w:cs="Times New Roman"/>
                      <w:sz w:val="24"/>
                      <w:szCs w:val="24"/>
                      <w:lang w:eastAsia="fr-FR" w:bidi="he-IL"/>
                    </w:rPr>
                    <w:br/>
                    <w:t>est nommé directeur général d'Axa Direct Corée, à compter du 1er mars 2015. </w:t>
                  </w:r>
                </w:p>
              </w:tc>
            </w:tr>
            <w:tr w:rsidR="00A20043" w:rsidRPr="00A20043">
              <w:trPr>
                <w:tblCellSpacing w:w="22" w:type="dxa"/>
              </w:trPr>
              <w:tc>
                <w:tcPr>
                  <w:tcW w:w="0" w:type="auto"/>
                  <w:tcMar>
                    <w:top w:w="0" w:type="dxa"/>
                    <w:left w:w="0" w:type="dxa"/>
                    <w:bottom w:w="150" w:type="dxa"/>
                    <w:right w:w="0" w:type="dxa"/>
                  </w:tcMar>
                  <w:vAlign w:val="center"/>
                  <w:hideMark/>
                </w:tcPr>
                <w:p w:rsidR="00A20043" w:rsidRPr="00A20043" w:rsidRDefault="00A20043" w:rsidP="00A20043">
                  <w:pPr>
                    <w:spacing w:after="150" w:line="240" w:lineRule="auto"/>
                    <w:rPr>
                      <w:rFonts w:ascii="Times New Roman" w:eastAsia="Times New Roman" w:hAnsi="Times New Roman" w:cs="Times New Roman"/>
                      <w:sz w:val="24"/>
                      <w:szCs w:val="24"/>
                      <w:lang w:eastAsia="fr-FR" w:bidi="he-IL"/>
                    </w:rPr>
                  </w:pPr>
                  <w:proofErr w:type="spellStart"/>
                  <w:r w:rsidRPr="00A20043">
                    <w:rPr>
                      <w:rFonts w:ascii="Times New Roman" w:eastAsia="Times New Roman" w:hAnsi="Times New Roman" w:cs="Times New Roman"/>
                      <w:b/>
                      <w:bCs/>
                      <w:sz w:val="24"/>
                      <w:szCs w:val="24"/>
                      <w:lang w:eastAsia="fr-FR" w:bidi="he-IL"/>
                    </w:rPr>
                    <w:t>Corina</w:t>
                  </w:r>
                  <w:proofErr w:type="spellEnd"/>
                  <w:r w:rsidRPr="00A20043">
                    <w:rPr>
                      <w:rFonts w:ascii="Times New Roman" w:eastAsia="Times New Roman" w:hAnsi="Times New Roman" w:cs="Times New Roman"/>
                      <w:b/>
                      <w:bCs/>
                      <w:sz w:val="24"/>
                      <w:szCs w:val="24"/>
                      <w:lang w:eastAsia="fr-FR" w:bidi="he-IL"/>
                    </w:rPr>
                    <w:t xml:space="preserve"> SABADUS</w:t>
                  </w:r>
                  <w:r w:rsidRPr="00A20043">
                    <w:rPr>
                      <w:rFonts w:ascii="Times New Roman" w:eastAsia="Times New Roman" w:hAnsi="Times New Roman" w:cs="Times New Roman"/>
                      <w:sz w:val="24"/>
                      <w:szCs w:val="24"/>
                      <w:lang w:eastAsia="fr-FR" w:bidi="he-IL"/>
                    </w:rPr>
                    <w:br/>
                    <w:t>est promue vice-présidente et directrice juridique de Coca-Cola entreprise France, société dont elle intègre </w:t>
                  </w:r>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sz w:val="24"/>
                      <w:szCs w:val="24"/>
                      <w:lang w:eastAsia="fr-FR" w:bidi="he-IL"/>
                    </w:rPr>
                    <w:t> comité de direction. </w:t>
                  </w:r>
                </w:p>
              </w:tc>
            </w:tr>
            <w:tr w:rsidR="00A20043" w:rsidRPr="00A20043">
              <w:trPr>
                <w:tblCellSpacing w:w="22" w:type="dxa"/>
              </w:trPr>
              <w:tc>
                <w:tcPr>
                  <w:tcW w:w="0" w:type="auto"/>
                  <w:tcMar>
                    <w:top w:w="0" w:type="dxa"/>
                    <w:left w:w="0" w:type="dxa"/>
                    <w:bottom w:w="150" w:type="dxa"/>
                    <w:right w:w="0" w:type="dxa"/>
                  </w:tcMar>
                  <w:vAlign w:val="center"/>
                  <w:hideMark/>
                </w:tcPr>
                <w:p w:rsidR="00A20043" w:rsidRPr="00A20043" w:rsidRDefault="00A20043" w:rsidP="00A20043">
                  <w:pPr>
                    <w:spacing w:after="150" w:line="240" w:lineRule="auto"/>
                    <w:rPr>
                      <w:rFonts w:ascii="Times New Roman" w:eastAsia="Times New Roman" w:hAnsi="Times New Roman" w:cs="Times New Roman"/>
                      <w:sz w:val="24"/>
                      <w:szCs w:val="24"/>
                      <w:lang w:eastAsia="fr-FR" w:bidi="he-IL"/>
                    </w:rPr>
                  </w:pPr>
                  <w:r w:rsidRPr="00A20043">
                    <w:rPr>
                      <w:rFonts w:ascii="Times New Roman" w:eastAsia="Times New Roman" w:hAnsi="Times New Roman" w:cs="Times New Roman"/>
                      <w:b/>
                      <w:bCs/>
                      <w:sz w:val="24"/>
                      <w:szCs w:val="24"/>
                      <w:lang w:eastAsia="fr-FR" w:bidi="he-IL"/>
                    </w:rPr>
                    <w:t>Hervé SORTAIS</w:t>
                  </w:r>
                  <w:r w:rsidRPr="00A20043">
                    <w:rPr>
                      <w:rFonts w:ascii="Times New Roman" w:eastAsia="Times New Roman" w:hAnsi="Times New Roman" w:cs="Times New Roman"/>
                      <w:b/>
                      <w:bCs/>
                      <w:sz w:val="24"/>
                      <w:szCs w:val="24"/>
                      <w:lang w:eastAsia="fr-FR" w:bidi="he-IL"/>
                    </w:rPr>
                    <w:br/>
                  </w:r>
                  <w:r w:rsidRPr="00A20043">
                    <w:rPr>
                      <w:rFonts w:ascii="Times New Roman" w:eastAsia="Times New Roman" w:hAnsi="Times New Roman" w:cs="Times New Roman"/>
                      <w:sz w:val="24"/>
                      <w:szCs w:val="24"/>
                      <w:lang w:eastAsia="fr-FR" w:bidi="he-IL"/>
                    </w:rPr>
                    <w:t>est </w:t>
                  </w:r>
                  <w:r w:rsidRPr="00A20043">
                    <w:rPr>
                      <w:rFonts w:ascii="Times New Roman" w:eastAsia="Times New Roman" w:hAnsi="Times New Roman" w:cs="Times New Roman"/>
                      <w:color w:val="222222"/>
                      <w:sz w:val="24"/>
                      <w:szCs w:val="24"/>
                      <w:lang w:eastAsia="fr-FR" w:bidi="he-IL"/>
                    </w:rPr>
                    <w:t>le</w:t>
                  </w:r>
                  <w:r w:rsidRPr="00A20043">
                    <w:rPr>
                      <w:rFonts w:ascii="Times New Roman" w:eastAsia="Times New Roman" w:hAnsi="Times New Roman" w:cs="Times New Roman"/>
                      <w:sz w:val="24"/>
                      <w:szCs w:val="24"/>
                      <w:lang w:eastAsia="fr-FR" w:bidi="he-IL"/>
                    </w:rPr>
                    <w:t xml:space="preserve"> nouveau directeur général de </w:t>
                  </w:r>
                  <w:proofErr w:type="spellStart"/>
                  <w:r w:rsidRPr="00A20043">
                    <w:rPr>
                      <w:rFonts w:ascii="Times New Roman" w:eastAsia="Times New Roman" w:hAnsi="Times New Roman" w:cs="Times New Roman"/>
                      <w:sz w:val="24"/>
                      <w:szCs w:val="24"/>
                      <w:lang w:eastAsia="fr-FR" w:bidi="he-IL"/>
                    </w:rPr>
                    <w:t>Wipro</w:t>
                  </w:r>
                  <w:proofErr w:type="spellEnd"/>
                  <w:r w:rsidRPr="00A20043">
                    <w:rPr>
                      <w:rFonts w:ascii="Times New Roman" w:eastAsia="Times New Roman" w:hAnsi="Times New Roman" w:cs="Times New Roman"/>
                      <w:sz w:val="24"/>
                      <w:szCs w:val="24"/>
                      <w:lang w:eastAsia="fr-FR" w:bidi="he-IL"/>
                    </w:rPr>
                    <w:t xml:space="preserve"> France. </w:t>
                  </w:r>
                </w:p>
              </w:tc>
            </w:tr>
          </w:tbl>
          <w:p w:rsidR="00A20043" w:rsidRPr="00A20043" w:rsidRDefault="00A20043" w:rsidP="00A20043">
            <w:pPr>
              <w:spacing w:after="0" w:line="240" w:lineRule="auto"/>
              <w:rPr>
                <w:rFonts w:ascii="Arial" w:eastAsia="Times New Roman" w:hAnsi="Arial" w:cs="Arial"/>
                <w:color w:val="222222"/>
                <w:sz w:val="15"/>
                <w:szCs w:val="15"/>
                <w:lang w:eastAsia="fr-FR" w:bidi="he-IL"/>
              </w:rPr>
            </w:pPr>
          </w:p>
        </w:tc>
      </w:tr>
    </w:tbl>
    <w:p w:rsidR="00A20043" w:rsidRDefault="00A20043"/>
    <w:sectPr w:rsidR="00A20043" w:rsidSect="005F25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0043"/>
    <w:rsid w:val="005F258B"/>
    <w:rsid w:val="00A20043"/>
    <w:rsid w:val="00E013B4"/>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8B"/>
  </w:style>
  <w:style w:type="paragraph" w:styleId="Titre4">
    <w:name w:val="heading 4"/>
    <w:basedOn w:val="Normal"/>
    <w:link w:val="Titre4Car"/>
    <w:uiPriority w:val="9"/>
    <w:qFormat/>
    <w:rsid w:val="00A20043"/>
    <w:pPr>
      <w:spacing w:before="100" w:beforeAutospacing="1" w:after="100" w:afterAutospacing="1" w:line="240" w:lineRule="auto"/>
      <w:outlineLvl w:val="3"/>
    </w:pPr>
    <w:rPr>
      <w:rFonts w:ascii="Times New Roman" w:eastAsia="Times New Roman" w:hAnsi="Times New Roman" w:cs="Times New Roman"/>
      <w:b/>
      <w:bCs/>
      <w:sz w:val="24"/>
      <w:szCs w:val="24"/>
      <w:lang w:eastAsia="fr-FR" w:bidi="he-IL"/>
    </w:rPr>
  </w:style>
  <w:style w:type="paragraph" w:styleId="Titre5">
    <w:name w:val="heading 5"/>
    <w:basedOn w:val="Normal"/>
    <w:link w:val="Titre5Car"/>
    <w:uiPriority w:val="9"/>
    <w:qFormat/>
    <w:rsid w:val="00A20043"/>
    <w:pPr>
      <w:spacing w:before="100" w:beforeAutospacing="1" w:after="100" w:afterAutospacing="1" w:line="240" w:lineRule="auto"/>
      <w:outlineLvl w:val="4"/>
    </w:pPr>
    <w:rPr>
      <w:rFonts w:ascii="Times New Roman" w:eastAsia="Times New Roman" w:hAnsi="Times New Roman" w:cs="Times New Roman"/>
      <w:b/>
      <w:bCs/>
      <w:sz w:val="20"/>
      <w:szCs w:val="20"/>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20043"/>
    <w:rPr>
      <w:rFonts w:ascii="Times New Roman" w:eastAsia="Times New Roman" w:hAnsi="Times New Roman" w:cs="Times New Roman"/>
      <w:b/>
      <w:bCs/>
      <w:sz w:val="24"/>
      <w:szCs w:val="24"/>
      <w:lang w:eastAsia="fr-FR" w:bidi="he-IL"/>
    </w:rPr>
  </w:style>
  <w:style w:type="character" w:customStyle="1" w:styleId="Titre5Car">
    <w:name w:val="Titre 5 Car"/>
    <w:basedOn w:val="Policepardfaut"/>
    <w:link w:val="Titre5"/>
    <w:uiPriority w:val="9"/>
    <w:rsid w:val="00A20043"/>
    <w:rPr>
      <w:rFonts w:ascii="Times New Roman" w:eastAsia="Times New Roman" w:hAnsi="Times New Roman" w:cs="Times New Roman"/>
      <w:b/>
      <w:bCs/>
      <w:sz w:val="20"/>
      <w:szCs w:val="20"/>
      <w:lang w:eastAsia="fr-FR" w:bidi="he-IL"/>
    </w:rPr>
  </w:style>
  <w:style w:type="character" w:customStyle="1" w:styleId="apple-converted-space">
    <w:name w:val="apple-converted-space"/>
    <w:basedOn w:val="Policepardfaut"/>
    <w:rsid w:val="00A20043"/>
  </w:style>
  <w:style w:type="character" w:customStyle="1" w:styleId="il">
    <w:name w:val="il"/>
    <w:basedOn w:val="Policepardfaut"/>
    <w:rsid w:val="00A20043"/>
  </w:style>
  <w:style w:type="character" w:styleId="Lienhypertexte">
    <w:name w:val="Hyperlink"/>
    <w:basedOn w:val="Policepardfaut"/>
    <w:uiPriority w:val="99"/>
    <w:semiHidden/>
    <w:unhideWhenUsed/>
    <w:rsid w:val="00A20043"/>
    <w:rPr>
      <w:color w:val="0000FF"/>
      <w:u w:val="single"/>
    </w:rPr>
  </w:style>
  <w:style w:type="paragraph" w:styleId="NormalWeb">
    <w:name w:val="Normal (Web)"/>
    <w:basedOn w:val="Normal"/>
    <w:uiPriority w:val="99"/>
    <w:unhideWhenUsed/>
    <w:rsid w:val="00A20043"/>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im">
    <w:name w:val="im"/>
    <w:basedOn w:val="Policepardfaut"/>
    <w:rsid w:val="00A20043"/>
  </w:style>
</w:styles>
</file>

<file path=word/webSettings.xml><?xml version="1.0" encoding="utf-8"?>
<w:webSettings xmlns:r="http://schemas.openxmlformats.org/officeDocument/2006/relationships" xmlns:w="http://schemas.openxmlformats.org/wordprocessingml/2006/main">
  <w:divs>
    <w:div w:id="1443764837">
      <w:bodyDiv w:val="1"/>
      <w:marLeft w:val="0"/>
      <w:marRight w:val="0"/>
      <w:marTop w:val="0"/>
      <w:marBottom w:val="0"/>
      <w:divBdr>
        <w:top w:val="none" w:sz="0" w:space="0" w:color="auto"/>
        <w:left w:val="none" w:sz="0" w:space="0" w:color="auto"/>
        <w:bottom w:val="none" w:sz="0" w:space="0" w:color="auto"/>
        <w:right w:val="none" w:sz="0" w:space="0" w:color="auto"/>
      </w:divBdr>
      <w:divsChild>
        <w:div w:id="256519681">
          <w:marLeft w:val="0"/>
          <w:marRight w:val="0"/>
          <w:marTop w:val="0"/>
          <w:marBottom w:val="0"/>
          <w:divBdr>
            <w:top w:val="none" w:sz="0" w:space="0" w:color="auto"/>
            <w:left w:val="none" w:sz="0" w:space="0" w:color="auto"/>
            <w:bottom w:val="none" w:sz="0" w:space="0" w:color="auto"/>
            <w:right w:val="none" w:sz="0" w:space="0" w:color="auto"/>
          </w:divBdr>
          <w:divsChild>
            <w:div w:id="1446080226">
              <w:marLeft w:val="0"/>
              <w:marRight w:val="0"/>
              <w:marTop w:val="0"/>
              <w:marBottom w:val="0"/>
              <w:divBdr>
                <w:top w:val="none" w:sz="0" w:space="0" w:color="auto"/>
                <w:left w:val="none" w:sz="0" w:space="0" w:color="auto"/>
                <w:bottom w:val="none" w:sz="0" w:space="0" w:color="auto"/>
                <w:right w:val="none" w:sz="0" w:space="0" w:color="auto"/>
              </w:divBdr>
            </w:div>
          </w:divsChild>
        </w:div>
        <w:div w:id="1644042953">
          <w:marLeft w:val="0"/>
          <w:marRight w:val="0"/>
          <w:marTop w:val="0"/>
          <w:marBottom w:val="0"/>
          <w:divBdr>
            <w:top w:val="none" w:sz="0" w:space="0" w:color="auto"/>
            <w:left w:val="none" w:sz="0" w:space="0" w:color="auto"/>
            <w:bottom w:val="none" w:sz="0" w:space="0" w:color="auto"/>
            <w:right w:val="none" w:sz="0" w:space="0" w:color="auto"/>
          </w:divBdr>
        </w:div>
        <w:div w:id="1626306842">
          <w:marLeft w:val="0"/>
          <w:marRight w:val="0"/>
          <w:marTop w:val="0"/>
          <w:marBottom w:val="0"/>
          <w:divBdr>
            <w:top w:val="none" w:sz="0" w:space="0" w:color="auto"/>
            <w:left w:val="none" w:sz="0" w:space="0" w:color="auto"/>
            <w:bottom w:val="none" w:sz="0" w:space="0" w:color="auto"/>
            <w:right w:val="none" w:sz="0" w:space="0" w:color="auto"/>
          </w:divBdr>
          <w:divsChild>
            <w:div w:id="627320160">
              <w:marLeft w:val="0"/>
              <w:marRight w:val="0"/>
              <w:marTop w:val="0"/>
              <w:marBottom w:val="0"/>
              <w:divBdr>
                <w:top w:val="none" w:sz="0" w:space="0" w:color="auto"/>
                <w:left w:val="none" w:sz="0" w:space="0" w:color="auto"/>
                <w:bottom w:val="none" w:sz="0" w:space="0" w:color="auto"/>
                <w:right w:val="none" w:sz="0" w:space="0" w:color="auto"/>
              </w:divBdr>
            </w:div>
          </w:divsChild>
        </w:div>
        <w:div w:id="286009726">
          <w:marLeft w:val="0"/>
          <w:marRight w:val="0"/>
          <w:marTop w:val="0"/>
          <w:marBottom w:val="0"/>
          <w:divBdr>
            <w:top w:val="none" w:sz="0" w:space="0" w:color="auto"/>
            <w:left w:val="none" w:sz="0" w:space="0" w:color="auto"/>
            <w:bottom w:val="none" w:sz="0" w:space="0" w:color="auto"/>
            <w:right w:val="none" w:sz="0" w:space="0" w:color="auto"/>
          </w:divBdr>
        </w:div>
        <w:div w:id="138013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thebys.com/fr/auctions/ecatalogue/2014/american-art-n09229/lot.11.html" TargetMode="External"/><Relationship Id="rId13" Type="http://schemas.openxmlformats.org/officeDocument/2006/relationships/hyperlink" Target="http://bourse.lemonde.fr/vals/ALL/video-points-bourse.htm" TargetMode="External"/><Relationship Id="rId18" Type="http://schemas.openxmlformats.org/officeDocument/2006/relationships/hyperlink" Target="http://www.lemonde.fr/bourse/nyse-euronext-indices/cac-40/" TargetMode="External"/><Relationship Id="rId26" Type="http://schemas.openxmlformats.org/officeDocument/2006/relationships/hyperlink" Target="http://www.lemonde.fr/bourse/nyse-euronext-paris-equities/vinci/" TargetMode="External"/><Relationship Id="rId39" Type="http://schemas.openxmlformats.org/officeDocument/2006/relationships/hyperlink" Target="http://www.lemonde.fr/bourse/nyse-euronext-indices/cac-40/" TargetMode="External"/><Relationship Id="rId3" Type="http://schemas.openxmlformats.org/officeDocument/2006/relationships/webSettings" Target="webSettings.xml"/><Relationship Id="rId21" Type="http://schemas.openxmlformats.org/officeDocument/2006/relationships/hyperlink" Target="http://www.lemonde.fr/bourse/nyse-euronext-paris-equities/technip/" TargetMode="External"/><Relationship Id="rId34" Type="http://schemas.openxmlformats.org/officeDocument/2006/relationships/hyperlink" Target="tel:09%2021/11/2014" TargetMode="External"/><Relationship Id="rId42" Type="http://schemas.openxmlformats.org/officeDocument/2006/relationships/hyperlink" Target="http://www.tnova.fr/note/banques-hybrides-et-r-glementation-des-banques-de-l-ombre" TargetMode="External"/><Relationship Id="rId47" Type="http://schemas.openxmlformats.org/officeDocument/2006/relationships/theme" Target="theme/theme1.xml"/><Relationship Id="rId7" Type="http://schemas.openxmlformats.org/officeDocument/2006/relationships/hyperlink" Target="http://www.presse.ademe.fr/2014/11/quels-impacts-sur-lenvironnement-aura-la-consommation-des-francais-en-2030.html" TargetMode="External"/><Relationship Id="rId12" Type="http://schemas.openxmlformats.org/officeDocument/2006/relationships/hyperlink" Target="http://www.autoritedelaconcurrence.fr/user/standard.php?id_rub=591&amp;id_article=2454" TargetMode="External"/><Relationship Id="rId17" Type="http://schemas.openxmlformats.org/officeDocument/2006/relationships/hyperlink" Target="tel:09%2021/11/2014" TargetMode="External"/><Relationship Id="rId25" Type="http://schemas.openxmlformats.org/officeDocument/2006/relationships/hyperlink" Target="http://www.lemonde.fr/bourse/nyse-euronext-paris-equities/gdf-suez/" TargetMode="External"/><Relationship Id="rId33" Type="http://schemas.openxmlformats.org/officeDocument/2006/relationships/hyperlink" Target="http://www.lemonde.fr/bourse/nyse-euronext-paris-equities/sanofi/" TargetMode="External"/><Relationship Id="rId38" Type="http://schemas.openxmlformats.org/officeDocument/2006/relationships/hyperlink" Target="http://www.lemonde.fr/bourse/forex-data-lite/gold-united-states-dollar/"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monde.fr/bourse/nyse-euronext-indices/cac-40/" TargetMode="External"/><Relationship Id="rId20" Type="http://schemas.openxmlformats.org/officeDocument/2006/relationships/hyperlink" Target="http://www.lemonde.fr/bourse/nyse-euronext-paris-equities/alcatel-lucent/" TargetMode="External"/><Relationship Id="rId29" Type="http://schemas.openxmlformats.org/officeDocument/2006/relationships/hyperlink" Target="http://www.lemonde.fr/bourse/nyse-euronext-paris-equities/sanofi/" TargetMode="External"/><Relationship Id="rId41" Type="http://schemas.openxmlformats.org/officeDocument/2006/relationships/hyperlink" Target="http://internetactu.blog.lemonde.fr/2014/11/19/quel-avenir-pour-le-travail-dans-un-monde-numerique/" TargetMode="External"/><Relationship Id="rId1" Type="http://schemas.openxmlformats.org/officeDocument/2006/relationships/styles" Target="styles.xml"/><Relationship Id="rId6" Type="http://schemas.openxmlformats.org/officeDocument/2006/relationships/hyperlink" Target="https://www.ecb.europa.eu/press/key/date/2014/html/index.en.html" TargetMode="External"/><Relationship Id="rId11" Type="http://schemas.openxmlformats.org/officeDocument/2006/relationships/hyperlink" Target="http://abonnes.lemonde.fr/japon/article/2014/11/21/japon-la-chambre-basse-du-parlement-officiellement-dissoute_4527036_1492975.html" TargetMode="External"/><Relationship Id="rId24" Type="http://schemas.openxmlformats.org/officeDocument/2006/relationships/hyperlink" Target="http://www.lemonde.fr/bourse/nyse-euronext-paris-equities/orange/" TargetMode="External"/><Relationship Id="rId32" Type="http://schemas.openxmlformats.org/officeDocument/2006/relationships/hyperlink" Target="http://pubn.lemonde.fr/RealMedia/ads/click_nx.ads/www.newsletters.com/12_15/index/1955748509@x20,x21%21x21" TargetMode="External"/><Relationship Id="rId37" Type="http://schemas.openxmlformats.org/officeDocument/2006/relationships/hyperlink" Target="http://www.lemonde.fr/bourse/ny-mercantile-exchange/brent-cruide-oil-last-day/" TargetMode="External"/><Relationship Id="rId40" Type="http://schemas.openxmlformats.org/officeDocument/2006/relationships/hyperlink" Target="http://www.lemonde.fr/bourse/dow-jones-indices/dj-industrial-average/" TargetMode="External"/><Relationship Id="rId45" Type="http://schemas.openxmlformats.org/officeDocument/2006/relationships/hyperlink" Target="http://www.retraiteplus.fr/docs/upload/users/10/presse/etude_comparative.pdf" TargetMode="External"/><Relationship Id="rId5" Type="http://schemas.openxmlformats.org/officeDocument/2006/relationships/hyperlink" Target="http://abonnes.lemonde.fr/economie/article/2014/11/20/air-france-va-transferer-ses-vols-interieurs-a-sa-filiale-hop_4526973_3234.html" TargetMode="External"/><Relationship Id="rId15" Type="http://schemas.openxmlformats.org/officeDocument/2006/relationships/hyperlink" Target="http://abonnes.lemonde.fr/pixels/breve/2014/11/20/call-of-duty-depasse-les-10-milliards-de-dollars-de-vente_4526994_4408996.html" TargetMode="External"/><Relationship Id="rId23" Type="http://schemas.openxmlformats.org/officeDocument/2006/relationships/hyperlink" Target="http://www.lemonde.fr/bourse/nyse-euronext-amsterdam-equities/arcelormittal/" TargetMode="External"/><Relationship Id="rId28" Type="http://schemas.openxmlformats.org/officeDocument/2006/relationships/hyperlink" Target="http://www.lemonde.fr/bourse/nyse-euronext-brussels-equities/solvay/" TargetMode="External"/><Relationship Id="rId36" Type="http://schemas.openxmlformats.org/officeDocument/2006/relationships/hyperlink" Target="http://www.lemonde.fr/bourse/forex-data-lite/euro-united-states-dollar/" TargetMode="External"/><Relationship Id="rId10" Type="http://schemas.openxmlformats.org/officeDocument/2006/relationships/hyperlink" Target="http://en.sanofi.com/Images/37642_20141120_3_New_Medicines_Day_en.pdf" TargetMode="External"/><Relationship Id="rId19" Type="http://schemas.openxmlformats.org/officeDocument/2006/relationships/hyperlink" Target="http://www.lemonde.fr/bourse/nyse-euronext-indices/cac-40/" TargetMode="External"/><Relationship Id="rId31" Type="http://schemas.openxmlformats.org/officeDocument/2006/relationships/hyperlink" Target="http://pubn.lemonde.fr/RealMedia/ads/click_nx.ads/www.newsletters.com/12_15/index/1955748509@x20,x21%21x20" TargetMode="External"/><Relationship Id="rId44" Type="http://schemas.openxmlformats.org/officeDocument/2006/relationships/hyperlink" Target="http://www.pwc.com/gx/en/consulting-services/information-security-survey/index.jhtml" TargetMode="External"/><Relationship Id="rId4" Type="http://schemas.openxmlformats.org/officeDocument/2006/relationships/hyperlink" Target="http://www.worldultrawealthreport.com/" TargetMode="External"/><Relationship Id="rId9" Type="http://schemas.openxmlformats.org/officeDocument/2006/relationships/hyperlink" Target="http://www.euractiv.fr/sections/euro-finances/un-nouveau-fonds-de-la-bei-devrait-gerer-le-plan-juncker-310160" TargetMode="External"/><Relationship Id="rId14" Type="http://schemas.openxmlformats.org/officeDocument/2006/relationships/hyperlink" Target="http://bourse.lemonde.fr/vals/ALL/video-points-bourse.htm" TargetMode="External"/><Relationship Id="rId22" Type="http://schemas.openxmlformats.org/officeDocument/2006/relationships/hyperlink" Target="http://www.lemonde.fr/bourse/nyse-euronext-paris-equities/bouygues/" TargetMode="External"/><Relationship Id="rId27" Type="http://schemas.openxmlformats.org/officeDocument/2006/relationships/hyperlink" Target="http://www.lemonde.fr/bourse/nyse-euronext-amsterdam-equities/gemalto/" TargetMode="External"/><Relationship Id="rId30" Type="http://schemas.openxmlformats.org/officeDocument/2006/relationships/hyperlink" Target="http://www.lemonde.fr/bourse/nyse-euronext-indices/cac-40/" TargetMode="External"/><Relationship Id="rId35" Type="http://schemas.openxmlformats.org/officeDocument/2006/relationships/hyperlink" Target="http://www.lemonde.fr/bourse/nyse-euronext-paris-equities/sanofi/" TargetMode="External"/><Relationship Id="rId43" Type="http://schemas.openxmlformats.org/officeDocument/2006/relationships/hyperlink" Target="http://www.oecd.org/economy/economic-survey-indi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2794</Words>
  <Characters>15373</Characters>
  <Application>Microsoft Office Word</Application>
  <DocSecurity>0</DocSecurity>
  <Lines>128</Lines>
  <Paragraphs>36</Paragraphs>
  <ScaleCrop>false</ScaleCrop>
  <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2014-12-01T13:17:00Z</dcterms:created>
  <dcterms:modified xsi:type="dcterms:W3CDTF">2014-12-01T13:19:00Z</dcterms:modified>
</cp:coreProperties>
</file>